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E8" w:rsidRDefault="007E1BE8" w:rsidP="008C316F">
      <w:pPr>
        <w:spacing w:line="360" w:lineRule="auto"/>
        <w:jc w:val="center"/>
        <w:rPr>
          <w:rFonts w:ascii="Arial" w:hAnsi="Arial" w:cs="Arial"/>
          <w:b/>
          <w:sz w:val="28"/>
          <w:shd w:val="clear" w:color="auto" w:fill="FFFFFF"/>
        </w:rPr>
      </w:pPr>
    </w:p>
    <w:p w:rsidR="00BF237D" w:rsidRPr="00BF237D" w:rsidRDefault="00BF237D" w:rsidP="00BF237D">
      <w:pPr>
        <w:jc w:val="center"/>
        <w:rPr>
          <w:rFonts w:ascii="Tahoma" w:hAnsi="Tahoma" w:cs="Tahoma"/>
          <w:b/>
          <w:bCs/>
          <w:color w:val="47484A"/>
          <w:sz w:val="19"/>
          <w:szCs w:val="19"/>
        </w:rPr>
      </w:pPr>
      <w:bookmarkStart w:id="0" w:name="_GoBack"/>
      <w:r w:rsidRPr="00BF237D">
        <w:rPr>
          <w:rFonts w:ascii="Arial" w:hAnsi="Arial" w:cs="Arial"/>
          <w:b/>
          <w:sz w:val="28"/>
          <w:shd w:val="clear" w:color="auto" w:fill="FFFFFF"/>
        </w:rPr>
        <w:t>Ve znalosti angličtiny Češ</w:t>
      </w:r>
      <w:r>
        <w:rPr>
          <w:rFonts w:ascii="Arial" w:hAnsi="Arial" w:cs="Arial"/>
          <w:b/>
          <w:sz w:val="28"/>
          <w:shd w:val="clear" w:color="auto" w:fill="FFFFFF"/>
        </w:rPr>
        <w:t xml:space="preserve">i stále pokulhávají. </w:t>
      </w:r>
      <w:r>
        <w:rPr>
          <w:rFonts w:ascii="Arial" w:hAnsi="Arial" w:cs="Arial"/>
          <w:b/>
          <w:sz w:val="28"/>
          <w:shd w:val="clear" w:color="auto" w:fill="FFFFFF"/>
        </w:rPr>
        <w:br/>
        <w:t>K</w:t>
      </w:r>
      <w:r w:rsidRPr="00BF237D">
        <w:rPr>
          <w:rFonts w:ascii="Arial" w:hAnsi="Arial" w:cs="Arial"/>
          <w:b/>
          <w:sz w:val="28"/>
          <w:shd w:val="clear" w:color="auto" w:fill="FFFFFF"/>
        </w:rPr>
        <w:t xml:space="preserve">valita školní výuky </w:t>
      </w:r>
      <w:r>
        <w:rPr>
          <w:rFonts w:ascii="Arial" w:hAnsi="Arial" w:cs="Arial"/>
          <w:b/>
          <w:sz w:val="28"/>
          <w:shd w:val="clear" w:color="auto" w:fill="FFFFFF"/>
        </w:rPr>
        <w:t xml:space="preserve">podle rodičů </w:t>
      </w:r>
      <w:r w:rsidRPr="00BF237D">
        <w:rPr>
          <w:rFonts w:ascii="Arial" w:hAnsi="Arial" w:cs="Arial"/>
          <w:b/>
          <w:sz w:val="28"/>
          <w:shd w:val="clear" w:color="auto" w:fill="FFFFFF"/>
        </w:rPr>
        <w:t>ke zlepšení nepřispívá</w:t>
      </w:r>
    </w:p>
    <w:bookmarkEnd w:id="0"/>
    <w:p w:rsidR="00C14459" w:rsidRDefault="00C14459" w:rsidP="00C14459">
      <w:pPr>
        <w:spacing w:after="0"/>
        <w:jc w:val="both"/>
        <w:rPr>
          <w:rFonts w:ascii="Arial" w:hAnsi="Arial" w:cs="Arial"/>
          <w:b/>
          <w:shd w:val="clear" w:color="auto" w:fill="FFFFFF"/>
        </w:rPr>
      </w:pPr>
    </w:p>
    <w:p w:rsidR="00C14459" w:rsidRDefault="00BF237D" w:rsidP="00C14459">
      <w:pPr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Praha</w:t>
      </w:r>
      <w:r w:rsidRPr="00911C07">
        <w:rPr>
          <w:rFonts w:ascii="Arial" w:hAnsi="Arial" w:cs="Arial"/>
          <w:b/>
        </w:rPr>
        <w:t xml:space="preserve">, </w:t>
      </w:r>
      <w:r w:rsidR="00911C07" w:rsidRPr="00911C07">
        <w:rPr>
          <w:rFonts w:ascii="Arial" w:hAnsi="Arial" w:cs="Arial"/>
          <w:b/>
        </w:rPr>
        <w:t>29</w:t>
      </w:r>
      <w:r w:rsidRPr="00911C07">
        <w:rPr>
          <w:rFonts w:ascii="Arial" w:hAnsi="Arial" w:cs="Arial"/>
          <w:b/>
        </w:rPr>
        <w:t>.</w:t>
      </w:r>
      <w:r>
        <w:rPr>
          <w:rFonts w:ascii="Arial" w:hAnsi="Arial" w:cs="Arial"/>
          <w:b/>
          <w:shd w:val="clear" w:color="auto" w:fill="FFFFFF"/>
        </w:rPr>
        <w:t xml:space="preserve"> </w:t>
      </w:r>
      <w:r w:rsidR="00911C07">
        <w:rPr>
          <w:rFonts w:ascii="Arial" w:hAnsi="Arial" w:cs="Arial"/>
          <w:b/>
          <w:shd w:val="clear" w:color="auto" w:fill="FFFFFF"/>
        </w:rPr>
        <w:t>srp</w:t>
      </w:r>
      <w:r w:rsidR="0094280E">
        <w:rPr>
          <w:rFonts w:ascii="Arial" w:hAnsi="Arial" w:cs="Arial"/>
          <w:b/>
          <w:shd w:val="clear" w:color="auto" w:fill="FFFFFF"/>
        </w:rPr>
        <w:t>n</w:t>
      </w:r>
      <w:r w:rsidR="008C316F" w:rsidRPr="00845608">
        <w:rPr>
          <w:rFonts w:ascii="Arial" w:hAnsi="Arial" w:cs="Arial"/>
          <w:b/>
          <w:shd w:val="clear" w:color="auto" w:fill="FFFFFF"/>
        </w:rPr>
        <w:t>a 2014</w:t>
      </w:r>
      <w:r w:rsidR="008C316F" w:rsidRPr="00626B37">
        <w:rPr>
          <w:rFonts w:ascii="Arial" w:hAnsi="Arial" w:cs="Arial"/>
          <w:b/>
          <w:shd w:val="clear" w:color="auto" w:fill="FFFFFF"/>
        </w:rPr>
        <w:t xml:space="preserve"> –</w:t>
      </w:r>
      <w:r>
        <w:rPr>
          <w:rFonts w:ascii="Arial" w:hAnsi="Arial" w:cs="Arial"/>
          <w:b/>
          <w:shd w:val="clear" w:color="auto" w:fill="FFFFFF"/>
        </w:rPr>
        <w:t xml:space="preserve"> Podle </w:t>
      </w:r>
      <w:r w:rsidR="00C14459">
        <w:rPr>
          <w:rFonts w:ascii="Arial" w:hAnsi="Arial" w:cs="Arial"/>
          <w:b/>
          <w:shd w:val="clear" w:color="auto" w:fill="FFFFFF"/>
        </w:rPr>
        <w:t xml:space="preserve">průzkumu </w:t>
      </w:r>
      <w:r>
        <w:rPr>
          <w:rFonts w:ascii="Arial" w:hAnsi="Arial" w:cs="Arial"/>
          <w:b/>
          <w:shd w:val="clear" w:color="auto" w:fill="FFFFFF"/>
        </w:rPr>
        <w:t>Helen Doron</w:t>
      </w:r>
      <w:r w:rsidR="00C14459">
        <w:rPr>
          <w:rFonts w:ascii="Arial" w:hAnsi="Arial" w:cs="Arial"/>
          <w:b/>
          <w:shd w:val="clear" w:color="auto" w:fill="FFFFFF"/>
        </w:rPr>
        <w:t xml:space="preserve"> English jen </w:t>
      </w:r>
      <w:r w:rsidR="00C14459" w:rsidRPr="00C14459">
        <w:rPr>
          <w:rFonts w:ascii="Arial" w:hAnsi="Arial" w:cs="Arial"/>
          <w:b/>
          <w:shd w:val="clear" w:color="auto" w:fill="FFFFFF"/>
        </w:rPr>
        <w:t xml:space="preserve">17 % rodičů </w:t>
      </w:r>
      <w:r w:rsidR="00C14459">
        <w:rPr>
          <w:rFonts w:ascii="Arial" w:hAnsi="Arial" w:cs="Arial"/>
          <w:b/>
          <w:shd w:val="clear" w:color="auto" w:fill="FFFFFF"/>
        </w:rPr>
        <w:t xml:space="preserve">hodnotí kvalitu výuky jazyků na základních a středních školách </w:t>
      </w:r>
      <w:r w:rsidR="00C14459" w:rsidRPr="00C14459">
        <w:rPr>
          <w:rFonts w:ascii="Arial" w:hAnsi="Arial" w:cs="Arial"/>
          <w:b/>
          <w:shd w:val="clear" w:color="auto" w:fill="FFFFFF"/>
        </w:rPr>
        <w:t xml:space="preserve">za </w:t>
      </w:r>
      <w:r w:rsidR="00C14459">
        <w:rPr>
          <w:rFonts w:ascii="Arial" w:hAnsi="Arial" w:cs="Arial"/>
          <w:b/>
          <w:shd w:val="clear" w:color="auto" w:fill="FFFFFF"/>
        </w:rPr>
        <w:t>dobrou nebo velmi</w:t>
      </w:r>
      <w:r w:rsidR="00C14459" w:rsidRPr="00C14459">
        <w:rPr>
          <w:rFonts w:ascii="Arial" w:hAnsi="Arial" w:cs="Arial"/>
          <w:b/>
          <w:shd w:val="clear" w:color="auto" w:fill="FFFFFF"/>
        </w:rPr>
        <w:t xml:space="preserve"> dobrou,</w:t>
      </w:r>
      <w:r w:rsidR="00C14459">
        <w:rPr>
          <w:rFonts w:ascii="Arial" w:hAnsi="Arial" w:cs="Arial"/>
          <w:b/>
          <w:shd w:val="clear" w:color="auto" w:fill="FFFFFF"/>
        </w:rPr>
        <w:t xml:space="preserve"> 67 % ji považuje za kolísavou a </w:t>
      </w:r>
      <w:r w:rsidR="00C14459" w:rsidRPr="00C14459">
        <w:rPr>
          <w:rFonts w:ascii="Arial" w:hAnsi="Arial" w:cs="Arial"/>
          <w:b/>
          <w:shd w:val="clear" w:color="auto" w:fill="FFFFFF"/>
        </w:rPr>
        <w:t>podle 13 % rodičů je kvalita nízká až naprosto nedostačující</w:t>
      </w:r>
      <w:r w:rsidR="00C14459">
        <w:rPr>
          <w:rFonts w:ascii="Arial" w:hAnsi="Arial" w:cs="Arial"/>
          <w:b/>
          <w:shd w:val="clear" w:color="auto" w:fill="FFFFFF"/>
        </w:rPr>
        <w:t>. I proto tři čtvrtiny rodičů doplňují školní výuku jazyků i o další možnosti – nejčastěji o kurzy a kroužky ve školkách, mateřských centrech, komerčních jazykových školách či o soukromé lekce v domácím prostředí.</w:t>
      </w:r>
    </w:p>
    <w:p w:rsidR="00C14459" w:rsidRDefault="00C14459" w:rsidP="00C14459">
      <w:pPr>
        <w:jc w:val="both"/>
        <w:rPr>
          <w:rFonts w:ascii="Arial" w:hAnsi="Arial" w:cs="Arial"/>
          <w:i/>
          <w:shd w:val="clear" w:color="auto" w:fill="FFFFFF"/>
        </w:rPr>
      </w:pPr>
      <w:r w:rsidRPr="00C14459">
        <w:rPr>
          <w:rFonts w:ascii="Arial" w:hAnsi="Arial" w:cs="Arial"/>
          <w:shd w:val="clear" w:color="auto" w:fill="FFFFFF"/>
        </w:rPr>
        <w:t xml:space="preserve">Z 21 evropských zemí hodnocených v rámci English Proficiency Indexu jsou Češi ve znalostech angličtiny dospělých obyvatel až na </w:t>
      </w:r>
      <w:r>
        <w:rPr>
          <w:rFonts w:ascii="Arial" w:hAnsi="Arial" w:cs="Arial"/>
          <w:shd w:val="clear" w:color="auto" w:fill="FFFFFF"/>
        </w:rPr>
        <w:t xml:space="preserve">17. místě. </w:t>
      </w:r>
      <w:r w:rsidRPr="00C14459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Za námi jsou už jen</w:t>
      </w:r>
      <w:r w:rsidRPr="00C14459">
        <w:rPr>
          <w:rFonts w:ascii="Arial" w:hAnsi="Arial" w:cs="Arial"/>
          <w:shd w:val="clear" w:color="auto" w:fill="FFFFFF"/>
        </w:rPr>
        <w:t xml:space="preserve"> Španělé Francouzi, Italové, </w:t>
      </w:r>
      <w:r>
        <w:rPr>
          <w:rFonts w:ascii="Arial" w:hAnsi="Arial" w:cs="Arial"/>
          <w:shd w:val="clear" w:color="auto" w:fill="FFFFFF"/>
        </w:rPr>
        <w:t xml:space="preserve">Ukrajinci, Turci a Rusové. </w:t>
      </w:r>
      <w:r w:rsidRPr="00C14459">
        <w:rPr>
          <w:rFonts w:ascii="Arial" w:hAnsi="Arial" w:cs="Arial"/>
          <w:i/>
          <w:shd w:val="clear" w:color="auto" w:fill="FFFFFF"/>
        </w:rPr>
        <w:t xml:space="preserve">„Ve znalostech angličtiny nás předhonila většina zemí bývalého východního bloku včetně našich sousedů </w:t>
      </w:r>
      <w:r>
        <w:rPr>
          <w:rFonts w:ascii="Arial" w:hAnsi="Arial" w:cs="Arial"/>
          <w:i/>
          <w:shd w:val="clear" w:color="auto" w:fill="FFFFFF"/>
        </w:rPr>
        <w:t>Polska</w:t>
      </w:r>
      <w:r w:rsidRPr="00C14459">
        <w:rPr>
          <w:rFonts w:ascii="Arial" w:hAnsi="Arial" w:cs="Arial"/>
          <w:i/>
          <w:shd w:val="clear" w:color="auto" w:fill="FFFFFF"/>
        </w:rPr>
        <w:t>, ale i Slo</w:t>
      </w:r>
      <w:r>
        <w:rPr>
          <w:rFonts w:ascii="Arial" w:hAnsi="Arial" w:cs="Arial"/>
          <w:i/>
          <w:shd w:val="clear" w:color="auto" w:fill="FFFFFF"/>
        </w:rPr>
        <w:t>venska</w:t>
      </w:r>
      <w:r w:rsidRPr="00C14459">
        <w:rPr>
          <w:rFonts w:ascii="Arial" w:hAnsi="Arial" w:cs="Arial"/>
          <w:i/>
          <w:shd w:val="clear" w:color="auto" w:fill="FFFFFF"/>
        </w:rPr>
        <w:t>,“</w:t>
      </w:r>
      <w:r>
        <w:rPr>
          <w:rFonts w:ascii="Arial" w:hAnsi="Arial" w:cs="Arial"/>
          <w:shd w:val="clear" w:color="auto" w:fill="FFFFFF"/>
        </w:rPr>
        <w:t xml:space="preserve"> říká Barbora Tošenovská, metodič</w:t>
      </w:r>
      <w:r w:rsidR="00856B2C">
        <w:rPr>
          <w:rFonts w:ascii="Arial" w:hAnsi="Arial" w:cs="Arial"/>
          <w:shd w:val="clear" w:color="auto" w:fill="FFFFFF"/>
        </w:rPr>
        <w:t xml:space="preserve">ka programu Helen </w:t>
      </w:r>
      <w:proofErr w:type="spellStart"/>
      <w:r w:rsidR="00856B2C">
        <w:rPr>
          <w:rFonts w:ascii="Arial" w:hAnsi="Arial" w:cs="Arial"/>
          <w:shd w:val="clear" w:color="auto" w:fill="FFFFFF"/>
        </w:rPr>
        <w:t>Doron</w:t>
      </w:r>
      <w:proofErr w:type="spellEnd"/>
      <w:r w:rsidR="00856B2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856B2C">
        <w:rPr>
          <w:rFonts w:ascii="Arial" w:hAnsi="Arial" w:cs="Arial"/>
          <w:shd w:val="clear" w:color="auto" w:fill="FFFFFF"/>
        </w:rPr>
        <w:t>English</w:t>
      </w:r>
      <w:proofErr w:type="spellEnd"/>
      <w:r>
        <w:rPr>
          <w:rFonts w:ascii="Arial" w:hAnsi="Arial" w:cs="Arial"/>
          <w:shd w:val="clear" w:color="auto" w:fill="FFFFFF"/>
        </w:rPr>
        <w:t xml:space="preserve"> a dodává: </w:t>
      </w:r>
      <w:r w:rsidRPr="00C14459">
        <w:rPr>
          <w:rFonts w:ascii="Arial" w:hAnsi="Arial" w:cs="Arial"/>
          <w:i/>
          <w:shd w:val="clear" w:color="auto" w:fill="FFFFFF"/>
        </w:rPr>
        <w:t xml:space="preserve">„Pokud nechceme ztratit krok se světem je přímo za pět minut dvanáct s tím </w:t>
      </w:r>
      <w:r>
        <w:rPr>
          <w:rFonts w:ascii="Arial" w:hAnsi="Arial" w:cs="Arial"/>
          <w:i/>
          <w:shd w:val="clear" w:color="auto" w:fill="FFFFFF"/>
        </w:rPr>
        <w:t>začít něco dělat. A</w:t>
      </w:r>
      <w:r w:rsidRPr="00C14459">
        <w:rPr>
          <w:rFonts w:ascii="Arial" w:hAnsi="Arial" w:cs="Arial"/>
          <w:i/>
          <w:shd w:val="clear" w:color="auto" w:fill="FFFFFF"/>
        </w:rPr>
        <w:t xml:space="preserve"> kde jinde </w:t>
      </w:r>
      <w:r w:rsidR="00856B2C">
        <w:rPr>
          <w:rFonts w:ascii="Arial" w:hAnsi="Arial" w:cs="Arial"/>
          <w:i/>
          <w:shd w:val="clear" w:color="auto" w:fill="FFFFFF"/>
        </w:rPr>
        <w:t>začít</w:t>
      </w:r>
      <w:r>
        <w:rPr>
          <w:rFonts w:ascii="Arial" w:hAnsi="Arial" w:cs="Arial"/>
          <w:i/>
          <w:shd w:val="clear" w:color="auto" w:fill="FFFFFF"/>
        </w:rPr>
        <w:t xml:space="preserve"> </w:t>
      </w:r>
      <w:r w:rsidRPr="00C14459">
        <w:rPr>
          <w:rFonts w:ascii="Arial" w:hAnsi="Arial" w:cs="Arial"/>
          <w:i/>
          <w:shd w:val="clear" w:color="auto" w:fill="FFFFFF"/>
        </w:rPr>
        <w:t>než s kvalit</w:t>
      </w:r>
      <w:r w:rsidR="00856B2C">
        <w:rPr>
          <w:rFonts w:ascii="Arial" w:hAnsi="Arial" w:cs="Arial"/>
          <w:i/>
          <w:shd w:val="clear" w:color="auto" w:fill="FFFFFF"/>
        </w:rPr>
        <w:t>ním vzděláváním předškolních a š</w:t>
      </w:r>
      <w:r w:rsidRPr="00C14459">
        <w:rPr>
          <w:rFonts w:ascii="Arial" w:hAnsi="Arial" w:cs="Arial"/>
          <w:i/>
          <w:shd w:val="clear" w:color="auto" w:fill="FFFFFF"/>
        </w:rPr>
        <w:t>kolních dětí.</w:t>
      </w:r>
      <w:r>
        <w:rPr>
          <w:rFonts w:ascii="Arial" w:hAnsi="Arial" w:cs="Arial"/>
          <w:i/>
          <w:shd w:val="clear" w:color="auto" w:fill="FFFFFF"/>
        </w:rPr>
        <w:t>“</w:t>
      </w:r>
    </w:p>
    <w:p w:rsidR="00C14459" w:rsidRDefault="00C14459" w:rsidP="00C14459">
      <w:pPr>
        <w:jc w:val="both"/>
        <w:rPr>
          <w:rFonts w:ascii="Arial" w:hAnsi="Arial" w:cs="Arial"/>
          <w:shd w:val="clear" w:color="auto" w:fill="FFFFFF"/>
        </w:rPr>
      </w:pPr>
      <w:r w:rsidRPr="00C14459">
        <w:rPr>
          <w:rFonts w:ascii="Arial" w:hAnsi="Arial" w:cs="Arial"/>
          <w:shd w:val="clear" w:color="auto" w:fill="FFFFFF"/>
        </w:rPr>
        <w:t xml:space="preserve">Podle průzkumu </w:t>
      </w:r>
      <w:r>
        <w:rPr>
          <w:rFonts w:ascii="Arial" w:hAnsi="Arial" w:cs="Arial"/>
          <w:shd w:val="clear" w:color="auto" w:fill="FFFFFF"/>
        </w:rPr>
        <w:t>Helen Doron English vidí lidé příčiny nízkých znalostí angličtiny mezi Čechy</w:t>
      </w:r>
      <w:r w:rsidRPr="00C14459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především </w:t>
      </w:r>
      <w:r w:rsidRPr="00C14459">
        <w:rPr>
          <w:rFonts w:ascii="Arial" w:hAnsi="Arial" w:cs="Arial"/>
          <w:shd w:val="clear" w:color="auto" w:fill="FFFFFF"/>
        </w:rPr>
        <w:t>ve špatně nastaveném syté</w:t>
      </w:r>
      <w:r>
        <w:rPr>
          <w:rFonts w:ascii="Arial" w:hAnsi="Arial" w:cs="Arial"/>
          <w:shd w:val="clear" w:color="auto" w:fill="FFFFFF"/>
        </w:rPr>
        <w:t>mu vzdělávání jazyků (názor 50</w:t>
      </w:r>
      <w:r w:rsidRPr="00C14459">
        <w:rPr>
          <w:rFonts w:ascii="Arial" w:hAnsi="Arial" w:cs="Arial"/>
          <w:shd w:val="clear" w:color="auto" w:fill="FFFFFF"/>
        </w:rPr>
        <w:t xml:space="preserve"> %</w:t>
      </w:r>
      <w:r>
        <w:rPr>
          <w:rFonts w:ascii="Arial" w:hAnsi="Arial" w:cs="Arial"/>
          <w:shd w:val="clear" w:color="auto" w:fill="FFFFFF"/>
        </w:rPr>
        <w:t xml:space="preserve"> respondentů</w:t>
      </w:r>
      <w:r w:rsidRPr="00C14459">
        <w:rPr>
          <w:rFonts w:ascii="Arial" w:hAnsi="Arial" w:cs="Arial"/>
          <w:shd w:val="clear" w:color="auto" w:fill="FFFFFF"/>
        </w:rPr>
        <w:t>), nedostatečné kvalitě a jazykových kompetencích vyučujících na stát</w:t>
      </w:r>
      <w:r>
        <w:rPr>
          <w:rFonts w:ascii="Arial" w:hAnsi="Arial" w:cs="Arial"/>
          <w:shd w:val="clear" w:color="auto" w:fill="FFFFFF"/>
        </w:rPr>
        <w:t>ních školách (41</w:t>
      </w:r>
      <w:r w:rsidRPr="00C14459">
        <w:rPr>
          <w:rFonts w:ascii="Arial" w:hAnsi="Arial" w:cs="Arial"/>
          <w:shd w:val="clear" w:color="auto" w:fill="FFFFFF"/>
        </w:rPr>
        <w:t xml:space="preserve"> %) a že pro nás cizí jazyky stále nejsou prioritou</w:t>
      </w:r>
      <w:r>
        <w:rPr>
          <w:rFonts w:ascii="Arial" w:hAnsi="Arial" w:cs="Arial"/>
          <w:shd w:val="clear" w:color="auto" w:fill="FFFFFF"/>
        </w:rPr>
        <w:t xml:space="preserve"> (29 %). </w:t>
      </w:r>
    </w:p>
    <w:p w:rsidR="00C14459" w:rsidRDefault="00C14459" w:rsidP="00C14459">
      <w:pPr>
        <w:jc w:val="both"/>
        <w:rPr>
          <w:rFonts w:ascii="Arial" w:hAnsi="Arial" w:cs="Arial"/>
          <w:shd w:val="clear" w:color="auto" w:fill="FFFFFF"/>
        </w:rPr>
      </w:pPr>
      <w:r w:rsidRPr="00C14459">
        <w:rPr>
          <w:rFonts w:ascii="Arial" w:hAnsi="Arial" w:cs="Arial"/>
          <w:noProof/>
          <w:shd w:val="clear" w:color="auto" w:fill="FFFFFF"/>
          <w:lang w:eastAsia="cs-CZ"/>
        </w:rPr>
        <w:drawing>
          <wp:inline distT="0" distB="0" distL="0" distR="0">
            <wp:extent cx="5551170" cy="2385060"/>
            <wp:effectExtent l="19050" t="0" r="11430" b="0"/>
            <wp:docPr id="4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14459" w:rsidRDefault="00C14459" w:rsidP="00C14459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Při výuce by rodiče uvítali aktivnější přístup vyučujících s větší interakcí se žáky a studenty s častějším zapojením poslechu a konverzace (názor 3/4 respondentů). 80 % rodičů by preferovalo, kdyby vyučující na děti při hodinách angličtiny mluvili výhradně nebo téměř výhradně anglicky. Metodika a forma výuky jsou pro rodiče nejvýznamnějším aspektem rozhodujícím o kvalitě výuky cizího jazyka, na druhém místě v pořadí důležitosti je osobnost a kompetence učitele.  </w:t>
      </w:r>
    </w:p>
    <w:p w:rsidR="00C14459" w:rsidRDefault="00C14459" w:rsidP="00C14459">
      <w:pPr>
        <w:jc w:val="both"/>
        <w:rPr>
          <w:rFonts w:ascii="Arial" w:hAnsi="Arial" w:cs="Arial"/>
          <w:i/>
          <w:iCs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Roste podíl rodičů, kteří věnují pozornost jazykovému vzdělávání svých dětí již od jejich raného věku. </w:t>
      </w:r>
      <w:r w:rsidRPr="0040522B">
        <w:rPr>
          <w:rFonts w:ascii="Arial" w:hAnsi="Arial" w:cs="Arial"/>
          <w:i/>
          <w:shd w:val="clear" w:color="auto" w:fill="FFFFFF"/>
        </w:rPr>
        <w:t xml:space="preserve">„Nejefektivnější čas, kdy začít s výukou jazyků u dětí je záhy po narození. </w:t>
      </w:r>
      <w:r w:rsidRPr="0040522B">
        <w:rPr>
          <w:rFonts w:ascii="Arial" w:hAnsi="Arial" w:cs="Arial"/>
          <w:i/>
          <w:shd w:val="clear" w:color="auto" w:fill="FFFFFF"/>
        </w:rPr>
        <w:lastRenderedPageBreak/>
        <w:t>Mozek je vnímavý a učení cizí řeči v raném věku je úspěšné. Aktivity spojené s osvojováním cizího jazyka nejsou pro děti zátěží, ale lákavou hrou. Jazyky se děti učí používat paralelně, tedy nemusí čekat na to, až zvládnou jeden, aby mohly začít se druhým</w:t>
      </w:r>
      <w:r>
        <w:rPr>
          <w:rFonts w:ascii="Arial" w:hAnsi="Arial" w:cs="Arial"/>
          <w:shd w:val="clear" w:color="auto" w:fill="FFFFFF"/>
        </w:rPr>
        <w:t>,“ říká Barbora Tošenovská, metodička programu Helen Doron English. To potvrzuje i uznávaná psycholožka Jitka Douchová: „</w:t>
      </w:r>
      <w:r w:rsidRPr="0040522B">
        <w:rPr>
          <w:rFonts w:ascii="Arial" w:hAnsi="Arial" w:cs="Arial"/>
          <w:i/>
          <w:iCs/>
          <w:shd w:val="clear" w:color="auto" w:fill="FFFFFF"/>
        </w:rPr>
        <w:t>Děti baví všechno, co se učí hrou a smíchem, a stejně tak by měla být vedena i výuka. Než učit děti izolovaná slovíčka, je lepší učit je celé věty. Ideální je co nejvíce napodobit způsob, jakým se děti učí mateřský jazyk - písničkami, básničkami, říkadly a mnoha obrázky, které se děti snaží rozpoznat a mluvit o nich.</w:t>
      </w:r>
      <w:r>
        <w:rPr>
          <w:rFonts w:ascii="Arial" w:hAnsi="Arial" w:cs="Arial"/>
          <w:i/>
          <w:iCs/>
          <w:shd w:val="clear" w:color="auto" w:fill="FFFFFF"/>
        </w:rPr>
        <w:t>“</w:t>
      </w:r>
    </w:p>
    <w:p w:rsidR="0040522B" w:rsidRPr="00C14459" w:rsidRDefault="0040522B" w:rsidP="00CA3C4E">
      <w:pPr>
        <w:spacing w:after="0"/>
        <w:jc w:val="both"/>
        <w:rPr>
          <w:rFonts w:ascii="Arial" w:hAnsi="Arial" w:cs="Arial"/>
          <w:b/>
          <w:sz w:val="19"/>
          <w:szCs w:val="19"/>
          <w:shd w:val="clear" w:color="auto" w:fill="FFFFFF"/>
        </w:rPr>
      </w:pPr>
      <w:r w:rsidRPr="00C14459">
        <w:rPr>
          <w:rFonts w:ascii="Arial" w:hAnsi="Arial" w:cs="Arial"/>
          <w:b/>
          <w:sz w:val="19"/>
          <w:szCs w:val="19"/>
          <w:shd w:val="clear" w:color="auto" w:fill="FFFFFF"/>
        </w:rPr>
        <w:t>O průzkumu:</w:t>
      </w:r>
    </w:p>
    <w:p w:rsidR="0040522B" w:rsidRPr="00335233" w:rsidRDefault="00CA3C4E" w:rsidP="0040522B">
      <w:pPr>
        <w:pStyle w:val="Textkomente"/>
        <w:rPr>
          <w:rFonts w:ascii="Arial" w:hAnsi="Arial" w:cs="Arial"/>
        </w:rPr>
      </w:pPr>
      <w:r w:rsidRPr="00C14459">
        <w:rPr>
          <w:rFonts w:ascii="Arial" w:hAnsi="Arial" w:cs="Arial"/>
          <w:sz w:val="19"/>
          <w:szCs w:val="19"/>
        </w:rPr>
        <w:t>Průzkum programu Helen Doron</w:t>
      </w:r>
      <w:r w:rsidR="001B4ED6" w:rsidRPr="00C14459">
        <w:rPr>
          <w:rFonts w:ascii="Arial" w:hAnsi="Arial" w:cs="Arial"/>
          <w:sz w:val="19"/>
          <w:szCs w:val="19"/>
        </w:rPr>
        <w:t xml:space="preserve"> </w:t>
      </w:r>
      <w:r w:rsidR="0040522B" w:rsidRPr="00C14459">
        <w:rPr>
          <w:rFonts w:ascii="Arial" w:hAnsi="Arial" w:cs="Arial"/>
          <w:sz w:val="19"/>
          <w:szCs w:val="19"/>
        </w:rPr>
        <w:t>English</w:t>
      </w:r>
      <w:r w:rsidR="001B4ED6" w:rsidRPr="00C14459">
        <w:rPr>
          <w:rFonts w:ascii="Arial" w:hAnsi="Arial" w:cs="Arial"/>
          <w:sz w:val="19"/>
          <w:szCs w:val="19"/>
        </w:rPr>
        <w:t xml:space="preserve"> </w:t>
      </w:r>
      <w:r w:rsidR="0040522B" w:rsidRPr="00C14459">
        <w:rPr>
          <w:rFonts w:ascii="Arial" w:hAnsi="Arial" w:cs="Arial"/>
          <w:i/>
          <w:sz w:val="19"/>
          <w:szCs w:val="19"/>
        </w:rPr>
        <w:t xml:space="preserve">Jak rodiče </w:t>
      </w:r>
      <w:proofErr w:type="gramStart"/>
      <w:r w:rsidR="0040522B" w:rsidRPr="00C14459">
        <w:rPr>
          <w:rFonts w:ascii="Arial" w:hAnsi="Arial" w:cs="Arial"/>
          <w:i/>
          <w:sz w:val="19"/>
          <w:szCs w:val="19"/>
        </w:rPr>
        <w:t>přistupují</w:t>
      </w:r>
      <w:proofErr w:type="gramEnd"/>
      <w:r w:rsidR="0040522B" w:rsidRPr="00C14459">
        <w:rPr>
          <w:rFonts w:ascii="Arial" w:hAnsi="Arial" w:cs="Arial"/>
          <w:i/>
          <w:sz w:val="19"/>
          <w:szCs w:val="19"/>
        </w:rPr>
        <w:t xml:space="preserve"> k výuce cizích jazyků u svých dětí </w:t>
      </w:r>
      <w:proofErr w:type="gramStart"/>
      <w:r w:rsidR="0040522B" w:rsidRPr="00C14459">
        <w:rPr>
          <w:rFonts w:ascii="Arial" w:hAnsi="Arial" w:cs="Arial"/>
          <w:sz w:val="19"/>
          <w:szCs w:val="19"/>
        </w:rPr>
        <w:t>provedla</w:t>
      </w:r>
      <w:proofErr w:type="gramEnd"/>
      <w:r w:rsidR="0040522B" w:rsidRPr="00C14459">
        <w:rPr>
          <w:rFonts w:ascii="Arial" w:hAnsi="Arial" w:cs="Arial"/>
          <w:sz w:val="19"/>
          <w:szCs w:val="19"/>
        </w:rPr>
        <w:t xml:space="preserve"> nezávislá výzkumná agentura Data </w:t>
      </w:r>
      <w:proofErr w:type="spellStart"/>
      <w:r w:rsidR="0040522B" w:rsidRPr="00C14459">
        <w:rPr>
          <w:rFonts w:ascii="Arial" w:hAnsi="Arial" w:cs="Arial"/>
          <w:sz w:val="19"/>
          <w:szCs w:val="19"/>
        </w:rPr>
        <w:t>Collect</w:t>
      </w:r>
      <w:proofErr w:type="spellEnd"/>
      <w:r w:rsidR="0040522B" w:rsidRPr="00C14459">
        <w:rPr>
          <w:rFonts w:ascii="Arial" w:hAnsi="Arial" w:cs="Arial"/>
          <w:sz w:val="19"/>
          <w:szCs w:val="19"/>
        </w:rPr>
        <w:t xml:space="preserve">. Sběr dat probíhal on-line formou ve dnech </w:t>
      </w:r>
      <w:proofErr w:type="gramStart"/>
      <w:r w:rsidR="0003059C" w:rsidRPr="00C14459">
        <w:rPr>
          <w:rFonts w:ascii="Arial" w:hAnsi="Arial" w:cs="Arial"/>
          <w:sz w:val="19"/>
          <w:szCs w:val="19"/>
        </w:rPr>
        <w:t>19.–26</w:t>
      </w:r>
      <w:proofErr w:type="gramEnd"/>
      <w:r w:rsidR="0040522B" w:rsidRPr="00C14459">
        <w:rPr>
          <w:rFonts w:ascii="Arial" w:hAnsi="Arial" w:cs="Arial"/>
          <w:sz w:val="19"/>
          <w:szCs w:val="19"/>
        </w:rPr>
        <w:t xml:space="preserve">. </w:t>
      </w:r>
      <w:r w:rsidR="0003059C" w:rsidRPr="00C14459">
        <w:rPr>
          <w:rFonts w:ascii="Arial" w:hAnsi="Arial" w:cs="Arial"/>
          <w:sz w:val="19"/>
          <w:szCs w:val="19"/>
        </w:rPr>
        <w:t>května 2014</w:t>
      </w:r>
      <w:r w:rsidR="0040522B" w:rsidRPr="00C14459">
        <w:rPr>
          <w:rFonts w:ascii="Arial" w:hAnsi="Arial" w:cs="Arial"/>
          <w:sz w:val="19"/>
          <w:szCs w:val="19"/>
        </w:rPr>
        <w:t xml:space="preserve"> na 1 000 respondentech</w:t>
      </w:r>
      <w:r w:rsidR="0003059C" w:rsidRPr="00C14459">
        <w:rPr>
          <w:rFonts w:ascii="Arial" w:hAnsi="Arial" w:cs="Arial"/>
          <w:sz w:val="19"/>
          <w:szCs w:val="19"/>
        </w:rPr>
        <w:t xml:space="preserve"> z řad rodičů</w:t>
      </w:r>
      <w:r w:rsidR="0040522B" w:rsidRPr="00C14459">
        <w:rPr>
          <w:rFonts w:ascii="Arial" w:hAnsi="Arial" w:cs="Arial"/>
          <w:sz w:val="19"/>
          <w:szCs w:val="19"/>
        </w:rPr>
        <w:t xml:space="preserve"> v reprezentativním zastoupení podle věku a kraje</w:t>
      </w:r>
      <w:r w:rsidR="0040522B">
        <w:rPr>
          <w:rFonts w:ascii="Arial" w:hAnsi="Arial" w:cs="Arial"/>
        </w:rPr>
        <w:t xml:space="preserve">. </w:t>
      </w:r>
    </w:p>
    <w:p w:rsidR="0040522B" w:rsidRDefault="0040522B" w:rsidP="0040522B">
      <w:pPr>
        <w:jc w:val="both"/>
        <w:rPr>
          <w:rFonts w:ascii="Arial" w:hAnsi="Arial" w:cs="Arial"/>
          <w:shd w:val="clear" w:color="auto" w:fill="FFFFFF"/>
        </w:rPr>
      </w:pPr>
    </w:p>
    <w:p w:rsidR="008C316F" w:rsidRPr="00DB051D" w:rsidRDefault="008C316F" w:rsidP="008C316F">
      <w:pPr>
        <w:spacing w:line="360" w:lineRule="auto"/>
        <w:jc w:val="center"/>
        <w:rPr>
          <w:rStyle w:val="apple-converted-space"/>
          <w:rFonts w:ascii="Arial" w:hAnsi="Arial" w:cs="Arial"/>
          <w:color w:val="222222"/>
          <w:shd w:val="clear" w:color="auto" w:fill="FFFFFF"/>
        </w:rPr>
      </w:pP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------------------------------------------</w:t>
      </w:r>
    </w:p>
    <w:p w:rsidR="008C316F" w:rsidRPr="00DB051D" w:rsidRDefault="008C316F" w:rsidP="008C316F">
      <w:pPr>
        <w:spacing w:line="240" w:lineRule="auto"/>
        <w:jc w:val="both"/>
        <w:rPr>
          <w:rFonts w:ascii="Arial" w:hAnsi="Arial" w:cs="Arial"/>
          <w:sz w:val="18"/>
        </w:rPr>
      </w:pPr>
      <w:r w:rsidRPr="0040522B">
        <w:rPr>
          <w:rFonts w:ascii="Arial" w:hAnsi="Arial" w:cs="Arial"/>
          <w:b/>
          <w:sz w:val="18"/>
        </w:rPr>
        <w:t>Helen Doron English</w:t>
      </w:r>
      <w:r w:rsidRPr="00DB051D">
        <w:rPr>
          <w:rFonts w:ascii="Arial" w:hAnsi="Arial" w:cs="Arial"/>
          <w:sz w:val="18"/>
        </w:rPr>
        <w:t xml:space="preserve"> je předním inovativním vzdělávacím systémem, který od roku 1985 poskytuje exkluzivní vzdělávací programy a kvalitní výukové materiály pro děti od 3 měsíců do 18 let. Helen Doron English je "duchovním dítětem" britské lingvistky a pedagožky Helen Doron, která spojila své znalosti nabyté během akademických studií s praxí při práci učitelky anglického jazyka a vytvořila vlastní přirozenou a úspěšnou metodu výuky anglického jazyka pro děti. Kladla důraz zejména na rozhodující vývojové fáze mozku dítěte. </w:t>
      </w:r>
    </w:p>
    <w:p w:rsidR="008C316F" w:rsidRPr="00DB051D" w:rsidRDefault="008C316F" w:rsidP="008C316F">
      <w:pPr>
        <w:spacing w:line="240" w:lineRule="auto"/>
        <w:jc w:val="both"/>
        <w:rPr>
          <w:rFonts w:ascii="Arial" w:hAnsi="Arial" w:cs="Arial"/>
          <w:sz w:val="18"/>
        </w:rPr>
      </w:pPr>
      <w:r w:rsidRPr="00DB051D">
        <w:rPr>
          <w:rFonts w:ascii="Arial" w:hAnsi="Arial" w:cs="Arial"/>
          <w:sz w:val="18"/>
        </w:rPr>
        <w:t xml:space="preserve">Jazyková metoda Helen Doron je založena na pravidelném opakovaném poslechu a pozitivním upevňování již nabytých znalostí. Učí jazyk kombinací vizuálních, auditivních a pohybových vjemů. Děti se zároveň naučí být kreativními a celoživotními studenty. </w:t>
      </w:r>
    </w:p>
    <w:p w:rsidR="008C316F" w:rsidRPr="00DB051D" w:rsidRDefault="008C316F" w:rsidP="008C316F">
      <w:pPr>
        <w:spacing w:line="240" w:lineRule="auto"/>
        <w:jc w:val="both"/>
        <w:rPr>
          <w:rFonts w:ascii="Arial" w:hAnsi="Arial" w:cs="Arial"/>
          <w:sz w:val="18"/>
        </w:rPr>
      </w:pPr>
      <w:r w:rsidRPr="00DB051D">
        <w:rPr>
          <w:rFonts w:ascii="Arial" w:hAnsi="Arial" w:cs="Arial"/>
          <w:sz w:val="18"/>
        </w:rPr>
        <w:t>Helen Doron English je celosvětově uznávanou metodou</w:t>
      </w:r>
      <w:r w:rsidR="004715BE">
        <w:rPr>
          <w:rFonts w:ascii="Arial" w:hAnsi="Arial" w:cs="Arial"/>
          <w:sz w:val="18"/>
        </w:rPr>
        <w:t xml:space="preserve">. Dnes podle ní učí angličtinu </w:t>
      </w:r>
      <w:r w:rsidRPr="00DB051D">
        <w:rPr>
          <w:rFonts w:ascii="Arial" w:hAnsi="Arial" w:cs="Arial"/>
          <w:sz w:val="18"/>
        </w:rPr>
        <w:t xml:space="preserve">přes 3000 učitelů více než 85 000 dětí ve třiceti zemích světa. Za 25 let její existence prošlo kurzy Helen </w:t>
      </w:r>
      <w:proofErr w:type="spellStart"/>
      <w:r w:rsidRPr="00DB051D">
        <w:rPr>
          <w:rFonts w:ascii="Arial" w:hAnsi="Arial" w:cs="Arial"/>
          <w:sz w:val="18"/>
        </w:rPr>
        <w:t>Doron</w:t>
      </w:r>
      <w:proofErr w:type="spellEnd"/>
      <w:r w:rsidRPr="00DB051D">
        <w:rPr>
          <w:rFonts w:ascii="Arial" w:hAnsi="Arial" w:cs="Arial"/>
          <w:sz w:val="18"/>
        </w:rPr>
        <w:t xml:space="preserve"> Early </w:t>
      </w:r>
      <w:proofErr w:type="spellStart"/>
      <w:r w:rsidRPr="00DB051D">
        <w:rPr>
          <w:rFonts w:ascii="Arial" w:hAnsi="Arial" w:cs="Arial"/>
          <w:sz w:val="18"/>
        </w:rPr>
        <w:t>English</w:t>
      </w:r>
      <w:proofErr w:type="spellEnd"/>
      <w:r w:rsidRPr="00DB051D">
        <w:rPr>
          <w:rFonts w:ascii="Arial" w:hAnsi="Arial" w:cs="Arial"/>
          <w:sz w:val="18"/>
        </w:rPr>
        <w:t xml:space="preserve"> celkem přes milion dětí. V České republice bylo první z výukových center otevřeno v září 2004 v Opavě. V současné době funguje po celé České republice celkem 32 výukových center. V menších městech dále působí nezávislí učitelé. Celkově se u nás na 86 místech učí v rámci Helen </w:t>
      </w:r>
      <w:proofErr w:type="spellStart"/>
      <w:r w:rsidRPr="00DB051D">
        <w:rPr>
          <w:rFonts w:ascii="Arial" w:hAnsi="Arial" w:cs="Arial"/>
          <w:sz w:val="18"/>
        </w:rPr>
        <w:t>DoronEnglish</w:t>
      </w:r>
      <w:proofErr w:type="spellEnd"/>
      <w:r w:rsidRPr="00DB051D">
        <w:rPr>
          <w:rFonts w:ascii="Arial" w:hAnsi="Arial" w:cs="Arial"/>
          <w:sz w:val="18"/>
        </w:rPr>
        <w:t xml:space="preserve"> více než 5000 dětí. </w:t>
      </w:r>
    </w:p>
    <w:p w:rsidR="008C316F" w:rsidRPr="00DB051D" w:rsidRDefault="008C316F" w:rsidP="008C316F">
      <w:pPr>
        <w:spacing w:line="240" w:lineRule="auto"/>
        <w:jc w:val="both"/>
        <w:rPr>
          <w:rFonts w:ascii="Arial" w:hAnsi="Arial" w:cs="Arial"/>
          <w:sz w:val="18"/>
        </w:rPr>
      </w:pPr>
      <w:r w:rsidRPr="00DB051D">
        <w:rPr>
          <w:rFonts w:ascii="Arial" w:hAnsi="Arial" w:cs="Arial"/>
          <w:sz w:val="18"/>
        </w:rPr>
        <w:t>Jednou z hlavních předností Helen Doron English je šíře a návaznost nabízených kurzů. Kurzy Helen Doron navštěvují děti již od 3 měsíců, pro ty je</w:t>
      </w:r>
      <w:r w:rsidR="004715BE">
        <w:rPr>
          <w:rFonts w:ascii="Arial" w:hAnsi="Arial" w:cs="Arial"/>
          <w:sz w:val="18"/>
        </w:rPr>
        <w:t xml:space="preserve"> určen kurz </w:t>
      </w:r>
      <w:proofErr w:type="spellStart"/>
      <w:r w:rsidR="004715BE">
        <w:rPr>
          <w:rFonts w:ascii="Arial" w:hAnsi="Arial" w:cs="Arial"/>
          <w:sz w:val="18"/>
        </w:rPr>
        <w:t>Baby´s</w:t>
      </w:r>
      <w:proofErr w:type="spellEnd"/>
      <w:r w:rsidR="004715BE">
        <w:rPr>
          <w:rFonts w:ascii="Arial" w:hAnsi="Arial" w:cs="Arial"/>
          <w:sz w:val="18"/>
        </w:rPr>
        <w:t xml:space="preserve"> Best Start, </w:t>
      </w:r>
      <w:r w:rsidRPr="00DB051D">
        <w:rPr>
          <w:rFonts w:ascii="Arial" w:hAnsi="Arial" w:cs="Arial"/>
          <w:sz w:val="18"/>
        </w:rPr>
        <w:t xml:space="preserve">na který postupně navazují další kurzy, ve kterých děti zdokonalují své jazykové znalosti. Pro teenagery je určen kurz s názvem </w:t>
      </w:r>
      <w:proofErr w:type="spellStart"/>
      <w:r w:rsidRPr="00DB051D">
        <w:rPr>
          <w:rFonts w:ascii="Arial" w:hAnsi="Arial" w:cs="Arial"/>
          <w:sz w:val="18"/>
        </w:rPr>
        <w:t>Teen</w:t>
      </w:r>
      <w:proofErr w:type="spellEnd"/>
      <w:r w:rsidRPr="00DB051D">
        <w:rPr>
          <w:rFonts w:ascii="Arial" w:hAnsi="Arial" w:cs="Arial"/>
          <w:sz w:val="18"/>
        </w:rPr>
        <w:t xml:space="preserve"> Talent. </w:t>
      </w:r>
    </w:p>
    <w:p w:rsidR="008C316F" w:rsidRPr="00DB051D" w:rsidRDefault="008C316F" w:rsidP="008C316F">
      <w:pPr>
        <w:spacing w:line="240" w:lineRule="auto"/>
        <w:jc w:val="both"/>
        <w:rPr>
          <w:rFonts w:ascii="Arial" w:hAnsi="Arial" w:cs="Arial"/>
          <w:sz w:val="18"/>
        </w:rPr>
      </w:pPr>
      <w:r w:rsidRPr="00DB051D">
        <w:rPr>
          <w:rFonts w:ascii="Arial" w:hAnsi="Arial" w:cs="Arial"/>
          <w:sz w:val="18"/>
        </w:rPr>
        <w:t xml:space="preserve">Helen Doron English nabízí dětem možnost účastnit se táborů, uspořádat narozeninovou oslavu přímo ve výukovém centru nebo hrát si na internetu a přitom se učit anglicky </w:t>
      </w:r>
      <w:hyperlink r:id="rId9" w:history="1">
        <w:r w:rsidRPr="00DB051D">
          <w:rPr>
            <w:rStyle w:val="Hypertextovodkaz"/>
            <w:rFonts w:ascii="Arial" w:hAnsi="Arial" w:cs="Arial"/>
            <w:sz w:val="18"/>
          </w:rPr>
          <w:t>www.kangiclub.com</w:t>
        </w:r>
      </w:hyperlink>
    </w:p>
    <w:p w:rsidR="00CA3C4E" w:rsidRPr="006A6C1B" w:rsidRDefault="00CA3C4E" w:rsidP="00CA3C4E">
      <w:pPr>
        <w:jc w:val="both"/>
        <w:rPr>
          <w:rFonts w:ascii="Arial" w:hAnsi="Arial" w:cs="Arial"/>
          <w:sz w:val="20"/>
          <w:szCs w:val="20"/>
          <w:u w:val="single"/>
        </w:rPr>
      </w:pPr>
      <w:r w:rsidRPr="006A6C1B">
        <w:rPr>
          <w:rFonts w:ascii="Arial" w:hAnsi="Arial" w:cs="Arial"/>
          <w:sz w:val="20"/>
          <w:szCs w:val="20"/>
          <w:u w:val="single"/>
        </w:rPr>
        <w:t>Kontakt:</w:t>
      </w:r>
    </w:p>
    <w:p w:rsidR="00CA3C4E" w:rsidRPr="006A6C1B" w:rsidRDefault="00CA3C4E" w:rsidP="00CA3C4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6C1B">
        <w:rPr>
          <w:rFonts w:ascii="Arial" w:hAnsi="Arial" w:cs="Arial"/>
          <w:b/>
          <w:sz w:val="20"/>
          <w:szCs w:val="20"/>
        </w:rPr>
        <w:t>Native PR</w:t>
      </w:r>
    </w:p>
    <w:p w:rsidR="00CA3C4E" w:rsidRDefault="00CA3C4E" w:rsidP="00CA3C4E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Marek Vomočil</w:t>
      </w:r>
    </w:p>
    <w:p w:rsidR="00CA3C4E" w:rsidRPr="006A6C1B" w:rsidRDefault="00911C07" w:rsidP="00CA3C4E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hyperlink r:id="rId10" w:history="1">
        <w:r w:rsidR="00CA3C4E" w:rsidRPr="00E26343">
          <w:rPr>
            <w:rStyle w:val="Hypertextovodkaz"/>
            <w:rFonts w:ascii="Arial" w:hAnsi="Arial" w:cs="Arial"/>
            <w:sz w:val="20"/>
            <w:szCs w:val="20"/>
          </w:rPr>
          <w:t>marek.vomocil@nativepr.cz</w:t>
        </w:r>
      </w:hyperlink>
    </w:p>
    <w:p w:rsidR="00CA3C4E" w:rsidRPr="006A6C1B" w:rsidRDefault="00CA3C4E" w:rsidP="00CA3C4E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6A6C1B">
        <w:rPr>
          <w:rFonts w:ascii="Arial" w:hAnsi="Arial" w:cs="Arial"/>
          <w:sz w:val="20"/>
          <w:szCs w:val="20"/>
        </w:rPr>
        <w:t>Tel:</w:t>
      </w:r>
      <w:r w:rsidRPr="006A6C1B">
        <w:rPr>
          <w:rFonts w:ascii="Arial" w:hAnsi="Arial" w:cs="Arial"/>
          <w:sz w:val="20"/>
          <w:szCs w:val="20"/>
        </w:rPr>
        <w:tab/>
        <w:t>+420 221 592 450</w:t>
      </w:r>
    </w:p>
    <w:p w:rsidR="00CA3C4E" w:rsidRDefault="00CA3C4E" w:rsidP="00CA3C4E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6A6C1B">
        <w:rPr>
          <w:rFonts w:ascii="Arial" w:hAnsi="Arial" w:cs="Arial"/>
          <w:sz w:val="20"/>
          <w:szCs w:val="20"/>
        </w:rPr>
        <w:t>Mobil:</w:t>
      </w:r>
      <w:r w:rsidRPr="006A6C1B">
        <w:rPr>
          <w:rFonts w:ascii="Arial" w:hAnsi="Arial" w:cs="Arial"/>
          <w:sz w:val="20"/>
          <w:szCs w:val="20"/>
        </w:rPr>
        <w:tab/>
        <w:t>+420</w:t>
      </w:r>
      <w:r>
        <w:rPr>
          <w:rFonts w:ascii="Arial" w:hAnsi="Arial" w:cs="Arial"/>
          <w:sz w:val="20"/>
          <w:szCs w:val="20"/>
        </w:rPr>
        <w:t> 734 572 970</w:t>
      </w:r>
    </w:p>
    <w:p w:rsidR="00685F7F" w:rsidRDefault="00911C07"/>
    <w:sectPr w:rsidR="00685F7F" w:rsidSect="003C63C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159" w:rsidRDefault="00903159" w:rsidP="008C316F">
      <w:pPr>
        <w:spacing w:after="0" w:line="240" w:lineRule="auto"/>
      </w:pPr>
      <w:r>
        <w:separator/>
      </w:r>
    </w:p>
  </w:endnote>
  <w:endnote w:type="continuationSeparator" w:id="0">
    <w:p w:rsidR="00903159" w:rsidRDefault="00903159" w:rsidP="008C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159" w:rsidRDefault="00903159" w:rsidP="008C316F">
      <w:pPr>
        <w:spacing w:after="0" w:line="240" w:lineRule="auto"/>
      </w:pPr>
      <w:r>
        <w:separator/>
      </w:r>
    </w:p>
  </w:footnote>
  <w:footnote w:type="continuationSeparator" w:id="0">
    <w:p w:rsidR="00903159" w:rsidRDefault="00903159" w:rsidP="008C3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BE8" w:rsidRDefault="007E1BE8">
    <w:pPr>
      <w:pStyle w:val="Zhlav"/>
      <w:rPr>
        <w:rFonts w:ascii="Arial" w:hAnsi="Arial" w:cs="Arial"/>
      </w:rPr>
    </w:pPr>
  </w:p>
  <w:p w:rsidR="007E1BE8" w:rsidRPr="007E1BE8" w:rsidRDefault="007E1BE8">
    <w:pPr>
      <w:pStyle w:val="Zhlav"/>
      <w:rPr>
        <w:rFonts w:ascii="Arial" w:hAnsi="Arial" w:cs="Arial"/>
      </w:rPr>
    </w:pPr>
    <w:r w:rsidRPr="007E1BE8">
      <w:rPr>
        <w:rFonts w:ascii="Arial" w:hAnsi="Arial" w:cs="Arial"/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3980815</wp:posOffset>
          </wp:positionH>
          <wp:positionV relativeFrom="margin">
            <wp:posOffset>-720725</wp:posOffset>
          </wp:positionV>
          <wp:extent cx="1767840" cy="586740"/>
          <wp:effectExtent l="0" t="0" r="3810" b="3810"/>
          <wp:wrapSquare wrapText="bothSides"/>
          <wp:docPr id="1" name="Obrázek 1" descr="HD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D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E1BE8">
      <w:rPr>
        <w:rFonts w:ascii="Arial" w:hAnsi="Arial" w:cs="Arial"/>
      </w:rPr>
      <w:t>TISKOVÁ ZPRÁVA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1480"/>
    <w:multiLevelType w:val="hybridMultilevel"/>
    <w:tmpl w:val="860032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B0CF3"/>
    <w:multiLevelType w:val="hybridMultilevel"/>
    <w:tmpl w:val="819A64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771380"/>
    <w:multiLevelType w:val="hybridMultilevel"/>
    <w:tmpl w:val="AD423098"/>
    <w:lvl w:ilvl="0" w:tplc="8C40FA9A">
      <w:start w:val="1"/>
      <w:numFmt w:val="bullet"/>
      <w:lvlText w:val="›"/>
      <w:lvlJc w:val="left"/>
      <w:pPr>
        <w:ind w:left="1440" w:hanging="360"/>
      </w:pPr>
      <w:rPr>
        <w:rFonts w:ascii="Tahoma" w:hAnsi="Tahoma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2935EA"/>
    <w:multiLevelType w:val="multilevel"/>
    <w:tmpl w:val="FAFA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A40D68"/>
    <w:multiLevelType w:val="multilevel"/>
    <w:tmpl w:val="0E72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16F"/>
    <w:rsid w:val="0003059C"/>
    <w:rsid w:val="001B4ED6"/>
    <w:rsid w:val="003C63CA"/>
    <w:rsid w:val="004022E7"/>
    <w:rsid w:val="0040522B"/>
    <w:rsid w:val="004715BE"/>
    <w:rsid w:val="004C14C4"/>
    <w:rsid w:val="00510BBB"/>
    <w:rsid w:val="005775F5"/>
    <w:rsid w:val="006275CE"/>
    <w:rsid w:val="007E1BE8"/>
    <w:rsid w:val="00856B2C"/>
    <w:rsid w:val="008A3099"/>
    <w:rsid w:val="008C316F"/>
    <w:rsid w:val="008F57AA"/>
    <w:rsid w:val="00903159"/>
    <w:rsid w:val="00911C07"/>
    <w:rsid w:val="0093373D"/>
    <w:rsid w:val="00936005"/>
    <w:rsid w:val="0094280E"/>
    <w:rsid w:val="00A36098"/>
    <w:rsid w:val="00AD188E"/>
    <w:rsid w:val="00B67FB1"/>
    <w:rsid w:val="00BF237D"/>
    <w:rsid w:val="00C14459"/>
    <w:rsid w:val="00C9712B"/>
    <w:rsid w:val="00CA3C4E"/>
    <w:rsid w:val="00D219B9"/>
    <w:rsid w:val="00D63BE3"/>
    <w:rsid w:val="00F62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316F"/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4022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8C316F"/>
  </w:style>
  <w:style w:type="character" w:styleId="Hypertextovodkaz">
    <w:name w:val="Hyperlink"/>
    <w:uiPriority w:val="99"/>
    <w:unhideWhenUsed/>
    <w:rsid w:val="008C316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316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316F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C316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E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BE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E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BE8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4280E"/>
    <w:pPr>
      <w:spacing w:after="0" w:line="240" w:lineRule="auto"/>
      <w:ind w:left="720"/>
    </w:pPr>
    <w:rPr>
      <w:rFonts w:eastAsiaTheme="minorHAns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2E7"/>
    <w:rPr>
      <w:rFonts w:ascii="Tahoma" w:eastAsia="Calibri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4022E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022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4022E7"/>
    <w:rPr>
      <w:i/>
      <w:iCs/>
    </w:rPr>
  </w:style>
  <w:style w:type="character" w:styleId="Siln">
    <w:name w:val="Strong"/>
    <w:basedOn w:val="Standardnpsmoodstavce"/>
    <w:uiPriority w:val="22"/>
    <w:qFormat/>
    <w:rsid w:val="004022E7"/>
    <w:rPr>
      <w:b/>
      <w:bCs/>
    </w:rPr>
  </w:style>
  <w:style w:type="paragraph" w:styleId="Textkomente">
    <w:name w:val="annotation text"/>
    <w:basedOn w:val="Normln"/>
    <w:link w:val="TextkomenteChar"/>
    <w:rsid w:val="0040522B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0522B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316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8C316F"/>
  </w:style>
  <w:style w:type="character" w:styleId="Hypertextovodkaz">
    <w:name w:val="Hyperlink"/>
    <w:uiPriority w:val="99"/>
    <w:unhideWhenUsed/>
    <w:rsid w:val="008C316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316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316F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C316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E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BE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E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BE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5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9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42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47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23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49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65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ek.vomocil@nativep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ngiclub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ITANIUM\data\ZAK&#193;ZKY\124_Helen_Doron\Akce\pr&#367;zkum\grafy%20k%20pr&#367;zkumu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000">
                <a:latin typeface="Arial" pitchFamily="34" charset="0"/>
                <a:cs typeface="Arial" pitchFamily="34" charset="0"/>
              </a:rPr>
              <a:t>Jaké jsou příčiny </a:t>
            </a:r>
            <a:r>
              <a:rPr lang="cs-CZ" sz="1000" b="1" i="0" u="none" strike="noStrike" baseline="0">
                <a:latin typeface="Arial" pitchFamily="34" charset="0"/>
                <a:cs typeface="Arial" pitchFamily="34" charset="0"/>
              </a:rPr>
              <a:t>nízkých znalostí angličtiny mezi českou populací? </a:t>
            </a:r>
            <a:endParaRPr lang="cs-CZ" sz="1000">
              <a:latin typeface="Arial" pitchFamily="34" charset="0"/>
              <a:cs typeface="Arial" pitchFamily="34" charset="0"/>
            </a:endParaRPr>
          </a:p>
        </c:rich>
      </c:tx>
      <c:layout>
        <c:manualLayout>
          <c:xMode val="edge"/>
          <c:yMode val="edge"/>
          <c:x val="0.11563706389824123"/>
          <c:y val="3.7273695420660322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  <c:spPr>
        <a:solidFill>
          <a:srgbClr val="FFFFFF"/>
        </a:solidFill>
        <a:ln>
          <a:noFill/>
        </a:ln>
      </c:spPr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5691548980049316E-2"/>
                  <c:y val="-3.058103975535168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50,1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691548980049316E-2"/>
                  <c:y val="-3.567787971457694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40,8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933198834341992E-2"/>
                  <c:y val="-3.56778797145769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29,2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7249495628782787E-3"/>
                  <c:y val="-4.077471967380224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8,7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List2!$A$23:$D$23</c:f>
              <c:strCache>
                <c:ptCount val="4"/>
                <c:pt idx="0">
                  <c:v>Špatně nastavený systém vzdělávání cizích jazyků</c:v>
                </c:pt>
                <c:pt idx="1">
                  <c:v>Nedostatečná kvalita a jazykové kompetence vyučujících na státních školách</c:v>
                </c:pt>
                <c:pt idx="2">
                  <c:v>Znalost angličtiny pro nás není prioritou</c:v>
                </c:pt>
                <c:pt idx="3">
                  <c:v>Jiná odpověď</c:v>
                </c:pt>
              </c:strCache>
            </c:strRef>
          </c:cat>
          <c:val>
            <c:numRef>
              <c:f>List2!$A$24:$D$24</c:f>
              <c:numCache>
                <c:formatCode>#,##0.0</c:formatCode>
                <c:ptCount val="4"/>
                <c:pt idx="0">
                  <c:v>50.1</c:v>
                </c:pt>
                <c:pt idx="1">
                  <c:v>40.800000000000011</c:v>
                </c:pt>
                <c:pt idx="2">
                  <c:v>29.2</c:v>
                </c:pt>
                <c:pt idx="3">
                  <c:v>8.7000000000000011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2426368"/>
        <c:axId val="42427904"/>
        <c:axId val="0"/>
      </c:bar3DChart>
      <c:catAx>
        <c:axId val="424263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cs-CZ"/>
          </a:p>
        </c:txPr>
        <c:crossAx val="42427904"/>
        <c:crosses val="autoZero"/>
        <c:auto val="1"/>
        <c:lblAlgn val="r"/>
        <c:lblOffset val="100"/>
        <c:noMultiLvlLbl val="0"/>
      </c:catAx>
      <c:valAx>
        <c:axId val="42427904"/>
        <c:scaling>
          <c:orientation val="minMax"/>
        </c:scaling>
        <c:delete val="0"/>
        <c:axPos val="l"/>
        <c:numFmt formatCode="#,##0.0" sourceLinked="1"/>
        <c:majorTickMark val="out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cs-CZ"/>
          </a:p>
        </c:txPr>
        <c:crossAx val="42426368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750</Words>
  <Characters>4431</Characters>
  <Application>Microsoft Office Word</Application>
  <DocSecurity>0</DocSecurity>
  <Lines>36</Lines>
  <Paragraphs>10</Paragraphs>
  <ScaleCrop>false</ScaleCrop>
  <Company>Microsoft</Company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Vomočil</dc:creator>
  <cp:lastModifiedBy>Marek Vomočil</cp:lastModifiedBy>
  <cp:revision>6</cp:revision>
  <dcterms:created xsi:type="dcterms:W3CDTF">2014-06-25T09:54:00Z</dcterms:created>
  <dcterms:modified xsi:type="dcterms:W3CDTF">2014-08-29T08:20:00Z</dcterms:modified>
</cp:coreProperties>
</file>