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D2C" w:rsidRDefault="008335B1">
      <w:pPr>
        <w:pStyle w:val="Nadpis1"/>
        <w:rPr>
          <w:rFonts w:ascii="Calibri" w:hAnsi="Calibri" w:cs="Calibr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5758920" cy="1238039"/>
            <wp:effectExtent l="0" t="0" r="0" b="211"/>
            <wp:wrapSquare wrapText="bothSides"/>
            <wp:docPr id="3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58920" cy="1238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771120" cy="666360"/>
            <wp:effectExtent l="0" t="0" r="0" b="390"/>
            <wp:wrapSquare wrapText="bothSides"/>
            <wp:docPr id="4" name="obrázek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1120" cy="66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sz w:val="28"/>
          <w:szCs w:val="28"/>
        </w:rPr>
        <w:t>Scénář bloku letní školy PPUČ (2. – 4. 7. 2018)</w:t>
      </w:r>
    </w:p>
    <w:p w:rsidR="00E33D2C" w:rsidRDefault="008335B1">
      <w:pPr>
        <w:pStyle w:val="Standard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Interní dokument PPUČ</w:t>
      </w:r>
    </w:p>
    <w:p w:rsidR="00E33D2C" w:rsidRDefault="00E33D2C">
      <w:pPr>
        <w:pStyle w:val="Standard"/>
        <w:rPr>
          <w:rFonts w:ascii="Calibri" w:hAnsi="Calibri" w:cs="Calibri"/>
          <w:i/>
          <w:sz w:val="22"/>
          <w:szCs w:val="22"/>
        </w:rPr>
      </w:pPr>
    </w:p>
    <w:p w:rsidR="00E33D2C" w:rsidRDefault="00E33D2C">
      <w:pPr>
        <w:pStyle w:val="Standard"/>
        <w:rPr>
          <w:rFonts w:ascii="Calibri" w:hAnsi="Calibri" w:cs="Calibri"/>
          <w:sz w:val="22"/>
          <w:szCs w:val="22"/>
        </w:rPr>
      </w:pPr>
    </w:p>
    <w:p w:rsidR="00E33D2C" w:rsidRDefault="008335B1">
      <w:pPr>
        <w:pStyle w:val="Standard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3. 7. od 9 do 12.30 hodin</w:t>
      </w:r>
    </w:p>
    <w:p w:rsidR="00E33D2C" w:rsidRDefault="008335B1">
      <w:pPr>
        <w:pStyle w:val="Standard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Odpovídá: jméno garanta, oblast</w:t>
      </w:r>
      <w:r w:rsidR="00916C07">
        <w:rPr>
          <w:rFonts w:ascii="Calibri" w:hAnsi="Calibri" w:cs="Calibri"/>
          <w:sz w:val="22"/>
          <w:szCs w:val="22"/>
        </w:rPr>
        <w:t>: Koubek, KA5</w:t>
      </w:r>
    </w:p>
    <w:p w:rsidR="00E33D2C" w:rsidRDefault="008335B1">
      <w:pPr>
        <w:pStyle w:val="Standard"/>
      </w:pPr>
      <w:proofErr w:type="gramStart"/>
      <w:r>
        <w:rPr>
          <w:rFonts w:ascii="Calibri" w:hAnsi="Calibri" w:cs="Calibri"/>
          <w:sz w:val="22"/>
          <w:szCs w:val="22"/>
        </w:rPr>
        <w:t>Lektor(</w:t>
      </w:r>
      <w:proofErr w:type="spellStart"/>
      <w:r>
        <w:rPr>
          <w:rFonts w:ascii="Calibri" w:hAnsi="Calibri" w:cs="Calibri"/>
          <w:sz w:val="22"/>
          <w:szCs w:val="22"/>
        </w:rPr>
        <w:t>ři</w:t>
      </w:r>
      <w:proofErr w:type="spellEnd"/>
      <w:proofErr w:type="gramEnd"/>
      <w:r>
        <w:rPr>
          <w:rFonts w:ascii="Calibri" w:hAnsi="Calibri" w:cs="Calibri"/>
          <w:sz w:val="22"/>
          <w:szCs w:val="22"/>
        </w:rPr>
        <w:t xml:space="preserve">): </w:t>
      </w:r>
      <w:r>
        <w:rPr>
          <w:rFonts w:ascii="Calibri" w:hAnsi="Calibri" w:cs="Calibri"/>
          <w:b/>
          <w:bCs/>
          <w:sz w:val="22"/>
          <w:szCs w:val="22"/>
        </w:rPr>
        <w:t>Mgr. Miroslav Kubíček, vytváření učící se komunity</w:t>
      </w:r>
    </w:p>
    <w:p w:rsidR="00E33D2C" w:rsidRDefault="00E33D2C">
      <w:pPr>
        <w:pStyle w:val="Standard"/>
        <w:rPr>
          <w:rFonts w:ascii="Calibri" w:hAnsi="Calibri" w:cs="Calibri"/>
          <w:sz w:val="22"/>
          <w:szCs w:val="22"/>
        </w:rPr>
      </w:pPr>
    </w:p>
    <w:tbl>
      <w:tblPr>
        <w:tblW w:w="9400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18"/>
        <w:gridCol w:w="2626"/>
        <w:gridCol w:w="56"/>
      </w:tblGrid>
      <w:tr w:rsidR="00E33D2C">
        <w:tblPrEx>
          <w:tblCellMar>
            <w:top w:w="0" w:type="dxa"/>
            <w:bottom w:w="0" w:type="dxa"/>
          </w:tblCellMar>
        </w:tblPrEx>
        <w:tc>
          <w:tcPr>
            <w:tcW w:w="93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D2C" w:rsidRDefault="008335B1">
            <w:pPr>
              <w:pStyle w:val="Standard"/>
              <w:jc w:val="center"/>
              <w:rPr>
                <w:rFonts w:ascii="Calibri" w:eastAsia="Tahoma" w:hAnsi="Calibri" w:cs="Calibri"/>
                <w:sz w:val="22"/>
                <w:szCs w:val="22"/>
              </w:rPr>
            </w:pPr>
            <w:r>
              <w:rPr>
                <w:rFonts w:ascii="Calibri" w:eastAsia="Tahoma" w:hAnsi="Calibri" w:cs="Calibri"/>
                <w:sz w:val="22"/>
                <w:szCs w:val="22"/>
              </w:rPr>
              <w:t>Anotace</w:t>
            </w:r>
          </w:p>
          <w:p w:rsidR="00E33D2C" w:rsidRDefault="008335B1">
            <w:pPr>
              <w:pStyle w:val="Standard"/>
              <w:jc w:val="both"/>
              <w:rPr>
                <w:rFonts w:ascii="Calibri" w:eastAsia="Tahoma" w:hAnsi="Calibri" w:cs="Calibr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Calibri" w:eastAsia="Tahoma" w:hAnsi="Calibri" w:cs="Calibri"/>
                <w:b/>
                <w:bCs/>
                <w:i/>
                <w:iCs/>
                <w:sz w:val="22"/>
                <w:szCs w:val="22"/>
              </w:rPr>
              <w:t>Cílem setkání je společně s</w:t>
            </w:r>
            <w:r>
              <w:rPr>
                <w:rFonts w:ascii="Calibri" w:eastAsia="Tahoma" w:hAnsi="Calibri" w:cs="Calibri"/>
                <w:b/>
                <w:bCs/>
                <w:i/>
                <w:iCs/>
                <w:sz w:val="22"/>
                <w:szCs w:val="22"/>
              </w:rPr>
              <w:t xml:space="preserve">dílet možnosti vytváření učících se </w:t>
            </w:r>
            <w:proofErr w:type="spellStart"/>
            <w:r>
              <w:rPr>
                <w:rFonts w:ascii="Calibri" w:eastAsia="Tahoma" w:hAnsi="Calibri" w:cs="Calibri"/>
                <w:b/>
                <w:bCs/>
                <w:i/>
                <w:iCs/>
                <w:sz w:val="22"/>
                <w:szCs w:val="22"/>
              </w:rPr>
              <w:t>kumunit</w:t>
            </w:r>
            <w:proofErr w:type="spellEnd"/>
            <w:r>
              <w:rPr>
                <w:rFonts w:ascii="Calibri" w:eastAsia="Tahoma" w:hAnsi="Calibri" w:cs="Calibri"/>
                <w:b/>
                <w:bCs/>
                <w:i/>
                <w:iCs/>
                <w:sz w:val="22"/>
                <w:szCs w:val="22"/>
              </w:rPr>
              <w:t xml:space="preserve"> v rámci běžných základních škol s důrazem na profesní učení pedagogů. Součástí semináře budou praktické tipy a ukázky realizovaných aktivit na ZŠ a MŠ Horka nad Moravou. Účastníci budou podrobně seznámeni s princ</w:t>
            </w:r>
            <w:r>
              <w:rPr>
                <w:rFonts w:ascii="Calibri" w:eastAsia="Tahoma" w:hAnsi="Calibri" w:cs="Calibri"/>
                <w:b/>
                <w:bCs/>
                <w:i/>
                <w:iCs/>
                <w:sz w:val="22"/>
                <w:szCs w:val="22"/>
              </w:rPr>
              <w:t xml:space="preserve">ipy kolegiální podpory 3 S a nejrůznějšími formáty zavádění kolegiální podpory – plány pedagogického rozvoje, párová výuka, </w:t>
            </w:r>
            <w:proofErr w:type="spellStart"/>
            <w:r>
              <w:rPr>
                <w:rFonts w:ascii="Calibri" w:eastAsia="Tahoma" w:hAnsi="Calibri" w:cs="Calibri"/>
                <w:b/>
                <w:bCs/>
                <w:i/>
                <w:iCs/>
                <w:sz w:val="22"/>
                <w:szCs w:val="22"/>
              </w:rPr>
              <w:t>minitýmy</w:t>
            </w:r>
            <w:proofErr w:type="spellEnd"/>
            <w:r>
              <w:rPr>
                <w:rFonts w:ascii="Calibri" w:eastAsia="Tahoma" w:hAnsi="Calibri" w:cs="Calibri"/>
                <w:b/>
                <w:bCs/>
                <w:i/>
                <w:iCs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Calibri" w:eastAsia="Tahoma" w:hAnsi="Calibri" w:cs="Calibri"/>
                <w:b/>
                <w:bCs/>
                <w:i/>
                <w:iCs/>
                <w:sz w:val="22"/>
                <w:szCs w:val="22"/>
              </w:rPr>
              <w:t>subtýmy</w:t>
            </w:r>
            <w:proofErr w:type="spellEnd"/>
            <w:r>
              <w:rPr>
                <w:rFonts w:ascii="Calibri" w:eastAsia="Tahoma" w:hAnsi="Calibri" w:cs="Calibri"/>
                <w:b/>
                <w:bCs/>
                <w:i/>
                <w:iCs/>
                <w:sz w:val="22"/>
                <w:szCs w:val="22"/>
              </w:rPr>
              <w:t>), trikolóry (triády) nebo oborová sdílení.</w:t>
            </w:r>
          </w:p>
          <w:p w:rsidR="00E33D2C" w:rsidRDefault="00E33D2C">
            <w:pPr>
              <w:pStyle w:val="Standard"/>
              <w:jc w:val="both"/>
              <w:rPr>
                <w:rFonts w:ascii="Calibri" w:eastAsia="Tahoma" w:hAnsi="Calibri" w:cs="Calibri"/>
                <w:sz w:val="22"/>
                <w:szCs w:val="22"/>
              </w:rPr>
            </w:pPr>
          </w:p>
        </w:tc>
        <w:tc>
          <w:tcPr>
            <w:tcW w:w="56" w:type="dxa"/>
          </w:tcPr>
          <w:p w:rsidR="00E33D2C" w:rsidRDefault="00E33D2C">
            <w:pPr>
              <w:pStyle w:val="Standard"/>
            </w:pPr>
          </w:p>
        </w:tc>
      </w:tr>
      <w:tr w:rsidR="00E33D2C">
        <w:tblPrEx>
          <w:tblCellMar>
            <w:top w:w="0" w:type="dxa"/>
            <w:bottom w:w="0" w:type="dxa"/>
          </w:tblCellMar>
        </w:tblPrEx>
        <w:tc>
          <w:tcPr>
            <w:tcW w:w="93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D2C" w:rsidRDefault="008335B1">
            <w:pPr>
              <w:pStyle w:val="Standard"/>
              <w:jc w:val="center"/>
              <w:rPr>
                <w:rFonts w:ascii="Calibri" w:eastAsia="Tahoma" w:hAnsi="Calibri" w:cs="Calibri"/>
                <w:sz w:val="22"/>
                <w:szCs w:val="22"/>
              </w:rPr>
            </w:pPr>
            <w:r>
              <w:rPr>
                <w:rFonts w:ascii="Calibri" w:eastAsia="Tahoma" w:hAnsi="Calibri" w:cs="Calibri"/>
                <w:sz w:val="22"/>
                <w:szCs w:val="22"/>
              </w:rPr>
              <w:t>Bodový scénář</w:t>
            </w:r>
          </w:p>
        </w:tc>
        <w:tc>
          <w:tcPr>
            <w:tcW w:w="56" w:type="dxa"/>
          </w:tcPr>
          <w:p w:rsidR="00E33D2C" w:rsidRDefault="00E33D2C">
            <w:pPr>
              <w:pStyle w:val="Standard"/>
            </w:pPr>
          </w:p>
        </w:tc>
      </w:tr>
      <w:tr w:rsidR="00E33D2C">
        <w:tblPrEx>
          <w:tblCellMar>
            <w:top w:w="0" w:type="dxa"/>
            <w:bottom w:w="0" w:type="dxa"/>
          </w:tblCellMar>
        </w:tblPrEx>
        <w:tc>
          <w:tcPr>
            <w:tcW w:w="67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D2C" w:rsidRDefault="008335B1">
            <w:pPr>
              <w:pStyle w:val="Standard"/>
              <w:ind w:left="29"/>
              <w:rPr>
                <w:rFonts w:ascii="Calibri" w:eastAsia="Tahoma" w:hAnsi="Calibri" w:cs="Calibri"/>
                <w:sz w:val="22"/>
                <w:szCs w:val="22"/>
              </w:rPr>
            </w:pPr>
            <w:r>
              <w:rPr>
                <w:rFonts w:ascii="Calibri" w:eastAsia="Tahoma" w:hAnsi="Calibri" w:cs="Calibri"/>
                <w:sz w:val="22"/>
                <w:szCs w:val="22"/>
              </w:rPr>
              <w:t>Popis činnosti</w:t>
            </w:r>
          </w:p>
        </w:tc>
        <w:tc>
          <w:tcPr>
            <w:tcW w:w="26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D2C" w:rsidRDefault="008335B1">
            <w:pPr>
              <w:pStyle w:val="Standard"/>
              <w:rPr>
                <w:rFonts w:ascii="Calibri" w:eastAsia="Tahoma" w:hAnsi="Calibri" w:cs="Calibri"/>
                <w:sz w:val="22"/>
                <w:szCs w:val="22"/>
              </w:rPr>
            </w:pPr>
            <w:r>
              <w:rPr>
                <w:rFonts w:ascii="Calibri" w:eastAsia="Tahoma" w:hAnsi="Calibri" w:cs="Calibri"/>
                <w:sz w:val="22"/>
                <w:szCs w:val="22"/>
              </w:rPr>
              <w:t>Pomůcky a obsahové zajištění</w:t>
            </w:r>
          </w:p>
        </w:tc>
      </w:tr>
      <w:tr w:rsidR="00E33D2C">
        <w:tblPrEx>
          <w:tblCellMar>
            <w:top w:w="0" w:type="dxa"/>
            <w:bottom w:w="0" w:type="dxa"/>
          </w:tblCellMar>
        </w:tblPrEx>
        <w:tc>
          <w:tcPr>
            <w:tcW w:w="67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D2C" w:rsidRDefault="008335B1">
            <w:pPr>
              <w:pStyle w:val="Standard"/>
              <w:rPr>
                <w:rFonts w:ascii="Calibri" w:eastAsia="Tahoma" w:hAnsi="Calibri" w:cs="Calibri"/>
                <w:sz w:val="22"/>
                <w:szCs w:val="22"/>
              </w:rPr>
            </w:pPr>
            <w:r>
              <w:rPr>
                <w:rFonts w:ascii="Calibri" w:eastAsia="Tahoma" w:hAnsi="Calibri" w:cs="Calibri"/>
                <w:sz w:val="22"/>
                <w:szCs w:val="22"/>
              </w:rPr>
              <w:t>Zahájení</w:t>
            </w:r>
          </w:p>
          <w:p w:rsidR="00E33D2C" w:rsidRDefault="008335B1">
            <w:pPr>
              <w:pStyle w:val="Standard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Představení se, úvodní slovo, smysl setkání.</w:t>
            </w:r>
          </w:p>
        </w:tc>
        <w:tc>
          <w:tcPr>
            <w:tcW w:w="26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D2C" w:rsidRDefault="008335B1">
            <w:pPr>
              <w:pStyle w:val="Standard"/>
              <w:rPr>
                <w:rFonts w:ascii="Calibri" w:eastAsia="Tahoma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ahoma" w:hAnsi="Calibri" w:cs="Calibri"/>
                <w:sz w:val="22"/>
                <w:szCs w:val="22"/>
              </w:rPr>
              <w:t>Flipchart</w:t>
            </w:r>
            <w:proofErr w:type="spellEnd"/>
            <w:r>
              <w:rPr>
                <w:rFonts w:ascii="Calibri" w:eastAsia="Tahoma" w:hAnsi="Calibri" w:cs="Calibri"/>
                <w:sz w:val="22"/>
                <w:szCs w:val="22"/>
              </w:rPr>
              <w:t xml:space="preserve">, promítačka, stoly, židle… </w:t>
            </w:r>
            <w:r>
              <w:rPr>
                <w:rFonts w:ascii="Calibri" w:eastAsia="Tahoma" w:hAnsi="Calibri" w:cs="Calibri"/>
                <w:sz w:val="22"/>
                <w:szCs w:val="22"/>
              </w:rPr>
              <w:br/>
            </w:r>
            <w:r>
              <w:rPr>
                <w:rFonts w:ascii="Calibri" w:eastAsia="Tahoma" w:hAnsi="Calibri" w:cs="Calibri"/>
                <w:sz w:val="22"/>
                <w:szCs w:val="22"/>
              </w:rPr>
              <w:t>lektor, garant</w:t>
            </w:r>
          </w:p>
        </w:tc>
      </w:tr>
      <w:tr w:rsidR="00E33D2C">
        <w:tblPrEx>
          <w:tblCellMar>
            <w:top w:w="0" w:type="dxa"/>
            <w:bottom w:w="0" w:type="dxa"/>
          </w:tblCellMar>
        </w:tblPrEx>
        <w:tc>
          <w:tcPr>
            <w:tcW w:w="67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D2C" w:rsidRDefault="008335B1">
            <w:pPr>
              <w:pStyle w:val="Standard"/>
              <w:spacing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 blok</w:t>
            </w:r>
          </w:p>
          <w:p w:rsidR="00E33D2C" w:rsidRDefault="008335B1">
            <w:pPr>
              <w:pStyle w:val="Standard"/>
              <w:spacing w:after="60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Obecné principy kolegiální podpory (3S), Nástroje k zavádění příležitostí pro společné učení pedagogů. Předpoklady nutné k vytvoření učící </w:t>
            </w: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se komunity.</w:t>
            </w:r>
            <w:bookmarkStart w:id="0" w:name="_GoBack"/>
            <w:bookmarkEnd w:id="0"/>
          </w:p>
        </w:tc>
        <w:tc>
          <w:tcPr>
            <w:tcW w:w="26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D2C" w:rsidRDefault="008335B1">
            <w:pPr>
              <w:pStyle w:val="Standard"/>
              <w:rPr>
                <w:rFonts w:ascii="Calibri" w:eastAsia="Tahoma" w:hAnsi="Calibri" w:cs="Calibri"/>
                <w:sz w:val="22"/>
                <w:szCs w:val="22"/>
              </w:rPr>
            </w:pPr>
            <w:r>
              <w:rPr>
                <w:rFonts w:ascii="Calibri" w:eastAsia="Tahoma" w:hAnsi="Calibri" w:cs="Calibri"/>
                <w:sz w:val="22"/>
                <w:szCs w:val="22"/>
              </w:rPr>
              <w:t>Dataprojektor, plátno</w:t>
            </w:r>
          </w:p>
        </w:tc>
      </w:tr>
      <w:tr w:rsidR="00E33D2C">
        <w:tblPrEx>
          <w:tblCellMar>
            <w:top w:w="0" w:type="dxa"/>
            <w:bottom w:w="0" w:type="dxa"/>
          </w:tblCellMar>
        </w:tblPrEx>
        <w:tc>
          <w:tcPr>
            <w:tcW w:w="67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D2C" w:rsidRDefault="008335B1">
            <w:pPr>
              <w:pStyle w:val="Standard"/>
              <w:ind w:left="29"/>
              <w:rPr>
                <w:rFonts w:ascii="Calibri" w:eastAsia="Tahoma" w:hAnsi="Calibri" w:cs="Calibri"/>
                <w:sz w:val="22"/>
                <w:szCs w:val="22"/>
              </w:rPr>
            </w:pPr>
            <w:r>
              <w:rPr>
                <w:rFonts w:ascii="Calibri" w:eastAsia="Tahoma" w:hAnsi="Calibri" w:cs="Calibri"/>
                <w:sz w:val="22"/>
                <w:szCs w:val="22"/>
              </w:rPr>
              <w:t>PŘESTÁVKA (síťování, občerstvení)</w:t>
            </w:r>
          </w:p>
        </w:tc>
        <w:tc>
          <w:tcPr>
            <w:tcW w:w="26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D2C" w:rsidRDefault="00E33D2C">
            <w:pPr>
              <w:pStyle w:val="Standard"/>
              <w:rPr>
                <w:rFonts w:ascii="Calibri" w:eastAsia="Tahoma" w:hAnsi="Calibri" w:cs="Calibri"/>
                <w:sz w:val="22"/>
                <w:szCs w:val="22"/>
              </w:rPr>
            </w:pPr>
          </w:p>
        </w:tc>
      </w:tr>
      <w:tr w:rsidR="00E33D2C">
        <w:tblPrEx>
          <w:tblCellMar>
            <w:top w:w="0" w:type="dxa"/>
            <w:bottom w:w="0" w:type="dxa"/>
          </w:tblCellMar>
        </w:tblPrEx>
        <w:tc>
          <w:tcPr>
            <w:tcW w:w="67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D2C" w:rsidRDefault="008335B1">
            <w:pPr>
              <w:pStyle w:val="Standard"/>
              <w:spacing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2. blok</w:t>
            </w:r>
          </w:p>
          <w:p w:rsidR="00E33D2C" w:rsidRDefault="008335B1">
            <w:pPr>
              <w:pStyle w:val="Standard"/>
              <w:spacing w:after="60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Praktická ukázka výstupů z nejrůznějších forem kolegiální podpory.</w:t>
            </w:r>
          </w:p>
        </w:tc>
        <w:tc>
          <w:tcPr>
            <w:tcW w:w="26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D2C" w:rsidRDefault="008335B1">
            <w:pPr>
              <w:pStyle w:val="Standard"/>
              <w:rPr>
                <w:rFonts w:ascii="Calibri" w:eastAsia="Tahoma" w:hAnsi="Calibri" w:cs="Calibri"/>
                <w:sz w:val="22"/>
                <w:szCs w:val="22"/>
              </w:rPr>
            </w:pPr>
            <w:r>
              <w:rPr>
                <w:rFonts w:ascii="Calibri" w:eastAsia="Tahoma" w:hAnsi="Calibri" w:cs="Calibri"/>
                <w:sz w:val="22"/>
                <w:szCs w:val="22"/>
              </w:rPr>
              <w:t>Dataprojektor, plátno</w:t>
            </w:r>
          </w:p>
        </w:tc>
      </w:tr>
      <w:tr w:rsidR="00E33D2C">
        <w:tblPrEx>
          <w:tblCellMar>
            <w:top w:w="0" w:type="dxa"/>
            <w:bottom w:w="0" w:type="dxa"/>
          </w:tblCellMar>
        </w:tblPrEx>
        <w:tc>
          <w:tcPr>
            <w:tcW w:w="67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D2C" w:rsidRDefault="008335B1">
            <w:pPr>
              <w:pStyle w:val="Standard"/>
              <w:spacing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Reflexe</w:t>
            </w:r>
          </w:p>
          <w:p w:rsidR="00E33D2C" w:rsidRDefault="008335B1">
            <w:pPr>
              <w:pStyle w:val="Standard"/>
              <w:spacing w:after="6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Diskuze, Co dál?</w:t>
            </w:r>
          </w:p>
        </w:tc>
        <w:tc>
          <w:tcPr>
            <w:tcW w:w="26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D2C" w:rsidRDefault="00E33D2C">
            <w:pPr>
              <w:pStyle w:val="Standard"/>
              <w:rPr>
                <w:rFonts w:ascii="Calibri" w:eastAsia="Tahoma" w:hAnsi="Calibri" w:cs="Calibri"/>
                <w:sz w:val="22"/>
                <w:szCs w:val="22"/>
              </w:rPr>
            </w:pPr>
          </w:p>
        </w:tc>
      </w:tr>
    </w:tbl>
    <w:p w:rsidR="00E33D2C" w:rsidRDefault="00E33D2C">
      <w:pPr>
        <w:pStyle w:val="Standard"/>
        <w:ind w:left="360"/>
        <w:rPr>
          <w:rFonts w:ascii="Calibri" w:hAnsi="Calibri" w:cs="Calibri"/>
          <w:sz w:val="22"/>
          <w:szCs w:val="22"/>
        </w:rPr>
      </w:pPr>
    </w:p>
    <w:p w:rsidR="00E33D2C" w:rsidRDefault="008335B1">
      <w:pPr>
        <w:pStyle w:val="Standard"/>
        <w:ind w:left="360"/>
      </w:pPr>
      <w:r>
        <w:rPr>
          <w:rFonts w:ascii="Calibri" w:hAnsi="Calibri" w:cs="Calibri"/>
          <w:sz w:val="22"/>
          <w:szCs w:val="22"/>
        </w:rPr>
        <w:t xml:space="preserve">Pracovní listy: </w:t>
      </w:r>
      <w:r>
        <w:rPr>
          <w:rFonts w:ascii="Calibri" w:hAnsi="Calibri" w:cs="Calibri"/>
          <w:b/>
          <w:bCs/>
          <w:sz w:val="22"/>
          <w:szCs w:val="22"/>
        </w:rPr>
        <w:t>Přivezu si dle počtu účastníků.</w:t>
      </w:r>
    </w:p>
    <w:p w:rsidR="00E33D2C" w:rsidRDefault="00E33D2C">
      <w:pPr>
        <w:pStyle w:val="Standard"/>
        <w:ind w:left="360"/>
        <w:rPr>
          <w:rFonts w:ascii="Calibri" w:hAnsi="Calibri" w:cs="Calibri"/>
          <w:sz w:val="22"/>
          <w:szCs w:val="22"/>
        </w:rPr>
      </w:pPr>
    </w:p>
    <w:p w:rsidR="00E33D2C" w:rsidRDefault="008335B1">
      <w:pPr>
        <w:pStyle w:val="Standard"/>
        <w:ind w:left="360"/>
      </w:pPr>
      <w:r>
        <w:rPr>
          <w:rFonts w:ascii="Calibri" w:hAnsi="Calibri" w:cs="Calibri"/>
          <w:sz w:val="22"/>
          <w:szCs w:val="22"/>
        </w:rPr>
        <w:t xml:space="preserve">Nárok na </w:t>
      </w:r>
      <w:r>
        <w:rPr>
          <w:rFonts w:ascii="Calibri" w:hAnsi="Calibri" w:cs="Calibri"/>
          <w:sz w:val="22"/>
          <w:szCs w:val="22"/>
        </w:rPr>
        <w:t xml:space="preserve">pomůcky, které má dodat projekt PPUČ: </w:t>
      </w:r>
      <w:r>
        <w:rPr>
          <w:rFonts w:ascii="Calibri" w:hAnsi="Calibri" w:cs="Calibri"/>
          <w:b/>
          <w:bCs/>
          <w:sz w:val="22"/>
          <w:szCs w:val="22"/>
        </w:rPr>
        <w:t>Dataprojektor a plátno pro prezentaci.</w:t>
      </w:r>
    </w:p>
    <w:p w:rsidR="00E33D2C" w:rsidRDefault="00E33D2C">
      <w:pPr>
        <w:pStyle w:val="Standard"/>
        <w:ind w:left="360"/>
        <w:rPr>
          <w:rFonts w:ascii="Calibri" w:hAnsi="Calibri" w:cs="Calibri"/>
          <w:sz w:val="22"/>
          <w:szCs w:val="22"/>
        </w:rPr>
      </w:pPr>
    </w:p>
    <w:p w:rsidR="00E33D2C" w:rsidRDefault="00E33D2C">
      <w:pPr>
        <w:pStyle w:val="Standard"/>
        <w:ind w:left="360"/>
        <w:rPr>
          <w:rFonts w:ascii="Calibri" w:hAnsi="Calibri" w:cs="Calibri"/>
          <w:sz w:val="22"/>
          <w:szCs w:val="22"/>
        </w:rPr>
      </w:pPr>
    </w:p>
    <w:p w:rsidR="00E33D2C" w:rsidRDefault="008335B1">
      <w:pPr>
        <w:pStyle w:val="Standard"/>
        <w:ind w:left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Vedoucí úkolu letní škola: Petr Koubek</w:t>
      </w:r>
    </w:p>
    <w:p w:rsidR="00E33D2C" w:rsidRDefault="008335B1">
      <w:pPr>
        <w:pStyle w:val="Standard"/>
        <w:ind w:left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Ověřila: Simona Šedá, hlavní metodička projektu</w:t>
      </w:r>
    </w:p>
    <w:sectPr w:rsidR="00E33D2C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247" w:right="1134" w:bottom="1247" w:left="1134" w:header="0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35B1" w:rsidRDefault="008335B1">
      <w:r>
        <w:separator/>
      </w:r>
    </w:p>
  </w:endnote>
  <w:endnote w:type="continuationSeparator" w:id="0">
    <w:p w:rsidR="008335B1" w:rsidRDefault="00833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auto"/>
    <w:pitch w:val="variable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2AC" w:rsidRDefault="008335B1">
    <w:pPr>
      <w:pStyle w:val="Standard"/>
      <w:tabs>
        <w:tab w:val="center" w:pos="4536"/>
        <w:tab w:val="right" w:pos="9072"/>
      </w:tabs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:rsidR="00E002AC" w:rsidRDefault="008335B1">
    <w:pPr>
      <w:pStyle w:val="Standard"/>
      <w:tabs>
        <w:tab w:val="center" w:pos="4536"/>
        <w:tab w:val="right" w:pos="9072"/>
      </w:tabs>
      <w:spacing w:after="709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2AC" w:rsidRDefault="008335B1">
    <w:pPr>
      <w:pStyle w:val="Normln1"/>
      <w:tabs>
        <w:tab w:val="right" w:pos="14459"/>
      </w:tabs>
      <w:spacing w:line="240" w:lineRule="auto"/>
    </w:pPr>
    <w:r>
      <w:tab/>
      <w:t>Národní ústav pro vzdělávání</w:t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76320</wp:posOffset>
          </wp:positionH>
          <wp:positionV relativeFrom="paragraph">
            <wp:posOffset>-10080</wp:posOffset>
          </wp:positionV>
          <wp:extent cx="770760" cy="666000"/>
          <wp:effectExtent l="0" t="0" r="0" b="750"/>
          <wp:wrapTight wrapText="bothSides">
            <wp:wrapPolygon edited="0">
              <wp:start x="0" y="0"/>
              <wp:lineTo x="0" y="21006"/>
              <wp:lineTo x="20821" y="21006"/>
              <wp:lineTo x="20821" y="0"/>
              <wp:lineTo x="0" y="0"/>
            </wp:wrapPolygon>
          </wp:wrapTight>
          <wp:docPr id="2" name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0760" cy="6660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:rsidR="00E002AC" w:rsidRDefault="008335B1">
    <w:pPr>
      <w:pStyle w:val="Normln1"/>
      <w:tabs>
        <w:tab w:val="right" w:pos="14459"/>
      </w:tabs>
      <w:spacing w:line="240" w:lineRule="auto"/>
    </w:pPr>
    <w:r>
      <w:tab/>
      <w:t>Weilova 1271/6, 10200 Praha 10</w:t>
    </w:r>
  </w:p>
  <w:p w:rsidR="00E002AC" w:rsidRDefault="008335B1">
    <w:pPr>
      <w:pStyle w:val="Normln1"/>
      <w:tabs>
        <w:tab w:val="right" w:pos="14459"/>
      </w:tabs>
      <w:spacing w:after="290" w:line="240" w:lineRule="auto"/>
    </w:pPr>
    <w:r>
      <w:tab/>
      <w:t>www.nuv.cz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35B1" w:rsidRDefault="008335B1">
      <w:r>
        <w:separator/>
      </w:r>
    </w:p>
  </w:footnote>
  <w:footnote w:type="continuationSeparator" w:id="0">
    <w:p w:rsidR="008335B1" w:rsidRDefault="008335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2AC" w:rsidRDefault="008335B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2AC" w:rsidRDefault="008335B1">
    <w:pPr>
      <w:pStyle w:val="Zhlav"/>
    </w:pPr>
    <w:r>
      <w:rPr>
        <w:noProof/>
      </w:rPr>
      <w:drawing>
        <wp:inline distT="0" distB="0" distL="0" distR="0">
          <wp:extent cx="5759280" cy="1238400"/>
          <wp:effectExtent l="0" t="0" r="0" b="0"/>
          <wp:docPr id="1" name="obrázky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9280" cy="123840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0F4B70"/>
    <w:multiLevelType w:val="multilevel"/>
    <w:tmpl w:val="93745714"/>
    <w:styleLink w:val="WWNum1"/>
    <w:lvl w:ilvl="0">
      <w:numFmt w:val="bullet"/>
      <w:lvlText w:val="-"/>
      <w:lvlJc w:val="left"/>
      <w:pPr>
        <w:ind w:left="434" w:hanging="360"/>
      </w:pPr>
      <w:rPr>
        <w:rFonts w:eastAsia="Tahoma" w:cs="Tahoma"/>
      </w:rPr>
    </w:lvl>
    <w:lvl w:ilvl="1">
      <w:numFmt w:val="bullet"/>
      <w:lvlText w:val="o"/>
      <w:lvlJc w:val="left"/>
      <w:pPr>
        <w:ind w:left="1154" w:hanging="360"/>
      </w:pPr>
      <w:rPr>
        <w:rFonts w:eastAsia="Courier New" w:cs="Courier New"/>
      </w:rPr>
    </w:lvl>
    <w:lvl w:ilvl="2">
      <w:numFmt w:val="bullet"/>
      <w:lvlText w:val="▪"/>
      <w:lvlJc w:val="left"/>
      <w:pPr>
        <w:ind w:left="1874" w:hanging="360"/>
      </w:pPr>
      <w:rPr>
        <w:rFonts w:eastAsia="Noto Sans Symbols" w:cs="Noto Sans Symbols"/>
      </w:rPr>
    </w:lvl>
    <w:lvl w:ilvl="3">
      <w:numFmt w:val="bullet"/>
      <w:lvlText w:val="●"/>
      <w:lvlJc w:val="left"/>
      <w:pPr>
        <w:ind w:left="2594" w:hanging="360"/>
      </w:pPr>
      <w:rPr>
        <w:rFonts w:eastAsia="Noto Sans Symbols" w:cs="Noto Sans Symbols"/>
      </w:rPr>
    </w:lvl>
    <w:lvl w:ilvl="4">
      <w:numFmt w:val="bullet"/>
      <w:lvlText w:val="o"/>
      <w:lvlJc w:val="left"/>
      <w:pPr>
        <w:ind w:left="3314" w:hanging="360"/>
      </w:pPr>
      <w:rPr>
        <w:rFonts w:eastAsia="Courier New" w:cs="Courier New"/>
      </w:rPr>
    </w:lvl>
    <w:lvl w:ilvl="5">
      <w:numFmt w:val="bullet"/>
      <w:lvlText w:val="▪"/>
      <w:lvlJc w:val="left"/>
      <w:pPr>
        <w:ind w:left="4034" w:hanging="360"/>
      </w:pPr>
      <w:rPr>
        <w:rFonts w:eastAsia="Noto Sans Symbols" w:cs="Noto Sans Symbols"/>
      </w:rPr>
    </w:lvl>
    <w:lvl w:ilvl="6">
      <w:numFmt w:val="bullet"/>
      <w:lvlText w:val="●"/>
      <w:lvlJc w:val="left"/>
      <w:pPr>
        <w:ind w:left="4754" w:hanging="360"/>
      </w:pPr>
      <w:rPr>
        <w:rFonts w:eastAsia="Noto Sans Symbols" w:cs="Noto Sans Symbols"/>
      </w:rPr>
    </w:lvl>
    <w:lvl w:ilvl="7">
      <w:numFmt w:val="bullet"/>
      <w:lvlText w:val="o"/>
      <w:lvlJc w:val="left"/>
      <w:pPr>
        <w:ind w:left="5474" w:hanging="360"/>
      </w:pPr>
      <w:rPr>
        <w:rFonts w:eastAsia="Courier New" w:cs="Courier New"/>
      </w:rPr>
    </w:lvl>
    <w:lvl w:ilvl="8">
      <w:numFmt w:val="bullet"/>
      <w:lvlText w:val="▪"/>
      <w:lvlJc w:val="left"/>
      <w:pPr>
        <w:ind w:left="6194" w:hanging="360"/>
      </w:pPr>
      <w:rPr>
        <w:rFonts w:eastAsia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E33D2C"/>
    <w:rsid w:val="008335B1"/>
    <w:rsid w:val="00916C07"/>
    <w:rsid w:val="00E33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E6F66"/>
  <w15:docId w15:val="{F4C5B683-EE75-4BF2-AFC1-F62DF49B7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kern w:val="3"/>
        <w:lang w:val="cs-CZ" w:eastAsia="cs-CZ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Standard"/>
    <w:next w:val="Textbody"/>
    <w:pPr>
      <w:keepNext/>
      <w:spacing w:before="240" w:after="60"/>
      <w:outlineLvl w:val="0"/>
    </w:pPr>
    <w:rPr>
      <w:b/>
      <w:sz w:val="32"/>
      <w:szCs w:val="32"/>
    </w:rPr>
  </w:style>
  <w:style w:type="paragraph" w:styleId="Nadpis2">
    <w:name w:val="heading 2"/>
    <w:basedOn w:val="Standard"/>
    <w:next w:val="Textbody"/>
    <w:pPr>
      <w:keepNext/>
      <w:spacing w:before="240" w:after="60"/>
      <w:outlineLvl w:val="1"/>
    </w:pPr>
    <w:rPr>
      <w:b/>
      <w:sz w:val="24"/>
      <w:szCs w:val="24"/>
    </w:rPr>
  </w:style>
  <w:style w:type="paragraph" w:styleId="Nadpis3">
    <w:name w:val="heading 3"/>
    <w:basedOn w:val="Standard"/>
    <w:next w:val="Textbody"/>
    <w:pPr>
      <w:keepNext/>
      <w:spacing w:before="240" w:after="60"/>
      <w:outlineLvl w:val="2"/>
    </w:pPr>
    <w:rPr>
      <w:b/>
    </w:rPr>
  </w:style>
  <w:style w:type="paragraph" w:styleId="Nadpis4">
    <w:name w:val="heading 4"/>
    <w:basedOn w:val="Standard"/>
    <w:next w:val="Textbod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Standard"/>
    <w:next w:val="Textbod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Standard"/>
    <w:next w:val="Textbody"/>
    <w:pPr>
      <w:keepNext/>
      <w:outlineLvl w:val="5"/>
    </w:pPr>
    <w:rPr>
      <w:rFonts w:ascii="Verdana" w:eastAsia="Verdana" w:hAnsi="Verdana" w:cs="Verdana"/>
      <w:b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color w:val="auto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Lucida Sans Unicode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  <w:rPr>
      <w:rFonts w:cs="Mangal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Nzev">
    <w:name w:val="Title"/>
    <w:basedOn w:val="Standard"/>
    <w:next w:val="Podnadpis"/>
    <w:pPr>
      <w:keepNext/>
      <w:keepLines/>
      <w:spacing w:before="480" w:after="120"/>
    </w:pPr>
    <w:rPr>
      <w:b/>
      <w:bCs/>
      <w:sz w:val="72"/>
      <w:szCs w:val="72"/>
    </w:rPr>
  </w:style>
  <w:style w:type="paragraph" w:styleId="Podnadpis">
    <w:name w:val="Subtitle"/>
    <w:basedOn w:val="Standard"/>
    <w:next w:val="Textbody"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paragraph" w:styleId="Odstavecseseznamem">
    <w:name w:val="List Paragraph"/>
    <w:basedOn w:val="Standard"/>
    <w:pPr>
      <w:ind w:left="720"/>
    </w:pPr>
  </w:style>
  <w:style w:type="paragraph" w:styleId="Zhlav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Zpat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Normln1">
    <w:name w:val="Normální1"/>
    <w:pPr>
      <w:widowControl/>
      <w:spacing w:line="276" w:lineRule="auto"/>
    </w:pPr>
    <w:rPr>
      <w:color w:val="auto"/>
      <w:sz w:val="22"/>
      <w:szCs w:val="22"/>
    </w:rPr>
  </w:style>
  <w:style w:type="paragraph" w:styleId="Textbubliny">
    <w:name w:val="Balloon Text"/>
    <w:basedOn w:val="Standard"/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ZhlavChar">
    <w:name w:val="Záhlaví Char"/>
    <w:basedOn w:val="Standardnpsmoodstavce"/>
  </w:style>
  <w:style w:type="character" w:customStyle="1" w:styleId="ZpatChar">
    <w:name w:val="Zápatí Char"/>
    <w:basedOn w:val="Standardnpsmoodstavce"/>
  </w:style>
  <w:style w:type="character" w:customStyle="1" w:styleId="TextbublinyChar">
    <w:name w:val="Text bubliny Char"/>
    <w:basedOn w:val="Standardnpsmoodstavce"/>
    <w:rPr>
      <w:rFonts w:ascii="Segoe UI" w:hAnsi="Segoe UI" w:cs="Segoe UI"/>
      <w:sz w:val="18"/>
      <w:szCs w:val="18"/>
    </w:rPr>
  </w:style>
  <w:style w:type="character" w:customStyle="1" w:styleId="ListLabel1">
    <w:name w:val="ListLabel 1"/>
    <w:rPr>
      <w:rFonts w:eastAsia="Tahoma" w:cs="Tahoma"/>
    </w:rPr>
  </w:style>
  <w:style w:type="character" w:customStyle="1" w:styleId="ListLabel2">
    <w:name w:val="ListLabel 2"/>
    <w:rPr>
      <w:rFonts w:eastAsia="Courier New" w:cs="Courier New"/>
    </w:rPr>
  </w:style>
  <w:style w:type="character" w:customStyle="1" w:styleId="ListLabel3">
    <w:name w:val="ListLabel 3"/>
    <w:rPr>
      <w:rFonts w:eastAsia="Noto Sans Symbols" w:cs="Noto Sans Symbols"/>
    </w:rPr>
  </w:style>
  <w:style w:type="numbering" w:customStyle="1" w:styleId="WWNum1">
    <w:name w:val="WWNum1"/>
    <w:basedOn w:val="Bezseznamu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206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Koubek Petr</cp:lastModifiedBy>
  <cp:revision>2</cp:revision>
  <cp:lastPrinted>2018-04-20T09:31:00Z</cp:lastPrinted>
  <dcterms:created xsi:type="dcterms:W3CDTF">2018-05-30T07:29:00Z</dcterms:created>
  <dcterms:modified xsi:type="dcterms:W3CDTF">2018-05-30T07:29:00Z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