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2C" w:rsidRDefault="00F95765">
      <w:pPr>
        <w:pStyle w:val="Nadpis1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758920" cy="1238039"/>
            <wp:effectExtent l="0" t="0" r="0" b="211"/>
            <wp:wrapSquare wrapText="bothSides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8920" cy="123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71120" cy="666360"/>
            <wp:effectExtent l="0" t="0" r="0" b="390"/>
            <wp:wrapSquare wrapText="bothSides"/>
            <wp:docPr id="4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120" cy="6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  <w:szCs w:val="28"/>
        </w:rPr>
        <w:t>Scénář bloku letní školy PPUČ (2. – 4. 7. 2018)</w:t>
      </w:r>
    </w:p>
    <w:p w:rsidR="00E33D2C" w:rsidRDefault="00F95765">
      <w:pPr>
        <w:pStyle w:val="Standard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Interní dokument PPUČ</w:t>
      </w:r>
    </w:p>
    <w:p w:rsidR="00E33D2C" w:rsidRDefault="00E33D2C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E33D2C" w:rsidRDefault="00E33D2C">
      <w:pPr>
        <w:pStyle w:val="Standard"/>
        <w:rPr>
          <w:rFonts w:ascii="Calibri" w:hAnsi="Calibri" w:cs="Calibri"/>
          <w:sz w:val="22"/>
          <w:szCs w:val="22"/>
        </w:rPr>
      </w:pPr>
    </w:p>
    <w:p w:rsidR="00E33D2C" w:rsidRDefault="00A46D79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F95765">
        <w:rPr>
          <w:rFonts w:ascii="Calibri" w:hAnsi="Calibri" w:cs="Calibri"/>
          <w:sz w:val="22"/>
          <w:szCs w:val="22"/>
        </w:rPr>
        <w:t xml:space="preserve">. 7. od </w:t>
      </w:r>
      <w:r w:rsidR="00CA307E">
        <w:rPr>
          <w:rFonts w:ascii="Calibri" w:hAnsi="Calibri" w:cs="Calibri"/>
          <w:sz w:val="22"/>
          <w:szCs w:val="22"/>
        </w:rPr>
        <w:t>8(</w:t>
      </w:r>
      <w:r w:rsidR="00F95765">
        <w:rPr>
          <w:rFonts w:ascii="Calibri" w:hAnsi="Calibri" w:cs="Calibri"/>
          <w:sz w:val="22"/>
          <w:szCs w:val="22"/>
        </w:rPr>
        <w:t>30</w:t>
      </w:r>
      <w:r w:rsidR="00CA307E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do </w:t>
      </w:r>
      <w:r w:rsidR="00CA307E">
        <w:rPr>
          <w:rFonts w:ascii="Calibri" w:hAnsi="Calibri" w:cs="Calibri"/>
          <w:sz w:val="22"/>
          <w:szCs w:val="22"/>
        </w:rPr>
        <w:t>11.30</w:t>
      </w:r>
      <w:r w:rsidR="00F95765">
        <w:rPr>
          <w:rFonts w:ascii="Calibri" w:hAnsi="Calibri" w:cs="Calibri"/>
          <w:sz w:val="22"/>
          <w:szCs w:val="22"/>
        </w:rPr>
        <w:t xml:space="preserve"> hodin</w:t>
      </w:r>
    </w:p>
    <w:p w:rsidR="00E33D2C" w:rsidRDefault="00F95765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Odpovídá: jméno garanta, oblast</w:t>
      </w:r>
      <w:r w:rsidR="00916C07">
        <w:rPr>
          <w:rFonts w:ascii="Calibri" w:hAnsi="Calibri" w:cs="Calibri"/>
          <w:sz w:val="22"/>
          <w:szCs w:val="22"/>
        </w:rPr>
        <w:t xml:space="preserve">: </w:t>
      </w:r>
      <w:r w:rsidR="00CA307E">
        <w:rPr>
          <w:rFonts w:ascii="Calibri" w:hAnsi="Calibri" w:cs="Calibri"/>
          <w:sz w:val="22"/>
          <w:szCs w:val="22"/>
        </w:rPr>
        <w:t>Jakub Holec, obsahový manažer PPUČ, Petr Koubek, PPUČ</w:t>
      </w:r>
    </w:p>
    <w:p w:rsidR="00E33D2C" w:rsidRDefault="00F95765">
      <w:pPr>
        <w:pStyle w:val="Standard"/>
      </w:pPr>
      <w:proofErr w:type="gramStart"/>
      <w:r>
        <w:rPr>
          <w:rFonts w:ascii="Calibri" w:hAnsi="Calibri" w:cs="Calibri"/>
          <w:sz w:val="22"/>
          <w:szCs w:val="22"/>
        </w:rPr>
        <w:t>Lektor(</w:t>
      </w:r>
      <w:proofErr w:type="spellStart"/>
      <w:r>
        <w:rPr>
          <w:rFonts w:ascii="Calibri" w:hAnsi="Calibri" w:cs="Calibri"/>
          <w:sz w:val="22"/>
          <w:szCs w:val="22"/>
        </w:rPr>
        <w:t>ři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): </w:t>
      </w:r>
      <w:r w:rsidR="00CA307E">
        <w:rPr>
          <w:rFonts w:ascii="Calibri" w:hAnsi="Calibri" w:cs="Calibri"/>
          <w:b/>
          <w:bCs/>
          <w:sz w:val="22"/>
          <w:szCs w:val="22"/>
        </w:rPr>
        <w:t xml:space="preserve">Roman </w:t>
      </w:r>
      <w:proofErr w:type="spellStart"/>
      <w:r w:rsidR="00CA307E">
        <w:rPr>
          <w:rFonts w:ascii="Calibri" w:hAnsi="Calibri" w:cs="Calibri"/>
          <w:b/>
          <w:bCs/>
          <w:sz w:val="22"/>
          <w:szCs w:val="22"/>
        </w:rPr>
        <w:t>Anýž</w:t>
      </w:r>
      <w:proofErr w:type="spellEnd"/>
      <w:r w:rsidR="00CA307E">
        <w:rPr>
          <w:rFonts w:ascii="Calibri" w:hAnsi="Calibri" w:cs="Calibri"/>
          <w:b/>
          <w:bCs/>
          <w:sz w:val="22"/>
          <w:szCs w:val="22"/>
        </w:rPr>
        <w:t>,</w:t>
      </w:r>
      <w:r w:rsidR="00407A66">
        <w:rPr>
          <w:rFonts w:ascii="Calibri" w:hAnsi="Calibri" w:cs="Calibri"/>
          <w:b/>
          <w:bCs/>
          <w:sz w:val="22"/>
          <w:szCs w:val="22"/>
        </w:rPr>
        <w:t xml:space="preserve"> lektor programu </w:t>
      </w:r>
      <w:hyperlink r:id="rId9" w:history="1">
        <w:r w:rsidR="00407A66" w:rsidRPr="00407A66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Tváří v tvář historii</w:t>
        </w:r>
      </w:hyperlink>
      <w:r w:rsidR="00407A66">
        <w:rPr>
          <w:rFonts w:ascii="Calibri" w:hAnsi="Calibri" w:cs="Calibri"/>
          <w:b/>
          <w:bCs/>
          <w:sz w:val="22"/>
          <w:szCs w:val="22"/>
        </w:rPr>
        <w:t xml:space="preserve"> a učitel dějepisu a výchovy k občanství </w:t>
      </w:r>
      <w:r w:rsidR="00407A66">
        <w:rPr>
          <w:rFonts w:ascii="Calibri" w:hAnsi="Calibri" w:cs="Calibri"/>
          <w:b/>
          <w:bCs/>
          <w:sz w:val="22"/>
          <w:szCs w:val="22"/>
        </w:rPr>
        <w:br/>
        <w:t xml:space="preserve">v </w:t>
      </w:r>
      <w:hyperlink r:id="rId10" w:history="1">
        <w:r w:rsidR="00CA307E" w:rsidRPr="00407A66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ZŠ Chrudim</w:t>
        </w:r>
        <w:r w:rsidR="00407A66" w:rsidRPr="00407A66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 xml:space="preserve"> Dr. Jana Malíka</w:t>
        </w:r>
      </w:hyperlink>
    </w:p>
    <w:p w:rsidR="00E33D2C" w:rsidRDefault="00E33D2C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4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8"/>
        <w:gridCol w:w="2626"/>
        <w:gridCol w:w="56"/>
      </w:tblGrid>
      <w:tr w:rsidR="00E33D2C">
        <w:tc>
          <w:tcPr>
            <w:tcW w:w="9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F95765">
            <w:pPr>
              <w:pStyle w:val="Standard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Anotace</w:t>
            </w:r>
          </w:p>
          <w:p w:rsidR="005E42F0" w:rsidRDefault="005E42F0" w:rsidP="005E42F0">
            <w:pPr>
              <w:pStyle w:val="Nadpis3"/>
              <w:shd w:val="clear" w:color="auto" w:fill="FFFFFF"/>
              <w:spacing w:before="330" w:after="330"/>
              <w:rPr>
                <w:rFonts w:ascii="Georgia" w:hAnsi="Georgia"/>
                <w:color w:val="141412"/>
                <w:sz w:val="33"/>
                <w:szCs w:val="33"/>
              </w:rPr>
            </w:pPr>
            <w:r>
              <w:rPr>
                <w:rFonts w:ascii="Georgia" w:hAnsi="Georgia"/>
                <w:color w:val="141412"/>
                <w:sz w:val="33"/>
                <w:szCs w:val="33"/>
              </w:rPr>
              <w:t>Jedinec a společnost</w:t>
            </w:r>
          </w:p>
          <w:p w:rsidR="005E42F0" w:rsidRDefault="005E42F0" w:rsidP="005E42F0">
            <w:pPr>
              <w:pStyle w:val="Normlnweb"/>
              <w:shd w:val="clear" w:color="auto" w:fill="FFFFFF"/>
              <w:spacing w:before="0" w:beforeAutospacing="0" w:after="360" w:afterAutospacing="0"/>
              <w:rPr>
                <w:rFonts w:ascii="Helvetica" w:hAnsi="Helvetica" w:cs="Helvetica"/>
                <w:color w:val="141412"/>
              </w:rPr>
            </w:pPr>
            <w:r>
              <w:rPr>
                <w:rFonts w:ascii="Helvetica" w:hAnsi="Helvetica" w:cs="Helvetica"/>
                <w:color w:val="141412"/>
              </w:rPr>
              <w:t>Metoda TTH představuje cestu, která vtáhne každého žáka a studenta do událostí „velké historie“ jakoby mimoděk. Začíná zkoumáním osobní identity každého jednotlivce, skutečnostmi, které tuto identitu formují a definují nejen jeho místo ve světě, ale také do značné míry jeho chování a rozhodování se v běžných životních situacích.</w:t>
            </w:r>
          </w:p>
          <w:p w:rsidR="005E42F0" w:rsidRDefault="005E42F0" w:rsidP="005E42F0">
            <w:pPr>
              <w:pStyle w:val="Nadpis3"/>
              <w:shd w:val="clear" w:color="auto" w:fill="FFFFFF"/>
              <w:spacing w:before="330" w:after="330"/>
              <w:rPr>
                <w:rFonts w:ascii="Georgia" w:hAnsi="Georgia" w:cs="Times New Roman"/>
                <w:color w:val="141412"/>
                <w:sz w:val="33"/>
                <w:szCs w:val="33"/>
              </w:rPr>
            </w:pPr>
            <w:r>
              <w:rPr>
                <w:rFonts w:ascii="Georgia" w:hAnsi="Georgia"/>
                <w:color w:val="141412"/>
                <w:sz w:val="33"/>
                <w:szCs w:val="33"/>
              </w:rPr>
              <w:t>My a oni</w:t>
            </w:r>
          </w:p>
          <w:p w:rsidR="005E42F0" w:rsidRDefault="005E42F0" w:rsidP="005E42F0">
            <w:pPr>
              <w:pStyle w:val="Normlnweb"/>
              <w:shd w:val="clear" w:color="auto" w:fill="FFFFFF"/>
              <w:spacing w:before="0" w:beforeAutospacing="0" w:after="360" w:afterAutospacing="0"/>
              <w:rPr>
                <w:rFonts w:ascii="Helvetica" w:hAnsi="Helvetica" w:cs="Helvetica"/>
                <w:color w:val="141412"/>
              </w:rPr>
            </w:pPr>
            <w:r>
              <w:rPr>
                <w:rFonts w:ascii="Helvetica" w:hAnsi="Helvetica" w:cs="Helvetica"/>
                <w:color w:val="141412"/>
              </w:rPr>
              <w:t>Cesta pokračuje studiem principů a zákonitostí, podle kterých vznikají skupiny a společnosti (např. národy). Žáci a studenti zkoumají, jak tyto skupiny vnímají sama sebe, své členy, resp. ne-členy a co z toho může vyplývat v souvislosti s jejich právy a povinnostmi.</w:t>
            </w:r>
          </w:p>
          <w:p w:rsidR="005E42F0" w:rsidRDefault="005E42F0" w:rsidP="005E42F0">
            <w:pPr>
              <w:pStyle w:val="Nadpis3"/>
              <w:shd w:val="clear" w:color="auto" w:fill="FFFFFF"/>
              <w:spacing w:before="330" w:after="330"/>
              <w:rPr>
                <w:rFonts w:ascii="Georgia" w:hAnsi="Georgia" w:cs="Times New Roman"/>
                <w:color w:val="141412"/>
                <w:sz w:val="33"/>
                <w:szCs w:val="33"/>
              </w:rPr>
            </w:pPr>
            <w:r>
              <w:rPr>
                <w:rFonts w:ascii="Georgia" w:hAnsi="Georgia"/>
                <w:color w:val="141412"/>
                <w:sz w:val="33"/>
                <w:szCs w:val="33"/>
              </w:rPr>
              <w:t>Historická studie</w:t>
            </w:r>
          </w:p>
          <w:p w:rsidR="005E42F0" w:rsidRDefault="005E42F0" w:rsidP="005E42F0">
            <w:pPr>
              <w:pStyle w:val="Normlnweb"/>
              <w:shd w:val="clear" w:color="auto" w:fill="FFFFFF"/>
              <w:spacing w:before="0" w:beforeAutospacing="0" w:after="360" w:afterAutospacing="0"/>
              <w:rPr>
                <w:rFonts w:ascii="Helvetica" w:hAnsi="Helvetica" w:cs="Helvetica"/>
                <w:color w:val="141412"/>
              </w:rPr>
            </w:pPr>
            <w:r>
              <w:rPr>
                <w:rFonts w:ascii="Helvetica" w:hAnsi="Helvetica" w:cs="Helvetica"/>
                <w:color w:val="141412"/>
              </w:rPr>
              <w:t>V historické studii, kterou pokračuje, dochází teprve k analýze historických událostí. Zaměřujeme se zejména na chování jednotlivců a skupin v situacích volby a rozhodnutí. Sledujeme a snažíme se pojmenovávat skutečnosti, které vedou člověka k poslušnosti, lhostejnosti, agresivitě, ale také k účasti, angažovanosti, statečnosti, odboji nebo k roli zachránce.</w:t>
            </w:r>
          </w:p>
          <w:p w:rsidR="005E42F0" w:rsidRDefault="005E42F0" w:rsidP="005E42F0">
            <w:pPr>
              <w:pStyle w:val="Nadpis3"/>
              <w:shd w:val="clear" w:color="auto" w:fill="FFFFFF"/>
              <w:spacing w:before="330" w:after="330"/>
              <w:rPr>
                <w:rFonts w:ascii="Georgia" w:hAnsi="Georgia" w:cs="Times New Roman"/>
                <w:color w:val="141412"/>
                <w:sz w:val="33"/>
                <w:szCs w:val="33"/>
              </w:rPr>
            </w:pPr>
            <w:r>
              <w:rPr>
                <w:rFonts w:ascii="Georgia" w:hAnsi="Georgia"/>
                <w:color w:val="141412"/>
                <w:sz w:val="33"/>
                <w:szCs w:val="33"/>
              </w:rPr>
              <w:t>Vyrovnávání s bolestnou minulostí</w:t>
            </w:r>
          </w:p>
          <w:p w:rsidR="005E42F0" w:rsidRDefault="005E42F0" w:rsidP="005E42F0">
            <w:pPr>
              <w:pStyle w:val="Normlnweb"/>
              <w:shd w:val="clear" w:color="auto" w:fill="FFFFFF"/>
              <w:spacing w:before="0" w:beforeAutospacing="0" w:after="360" w:afterAutospacing="0"/>
              <w:rPr>
                <w:rFonts w:ascii="Helvetica" w:hAnsi="Helvetica" w:cs="Helvetica"/>
                <w:color w:val="141412"/>
              </w:rPr>
            </w:pPr>
            <w:r>
              <w:rPr>
                <w:rFonts w:ascii="Helvetica" w:hAnsi="Helvetica" w:cs="Helvetica"/>
                <w:color w:val="141412"/>
              </w:rPr>
              <w:t>Typické a zásadní pro program TTH je to, že historickou studií celý proces nekončí. S žáky a studenty pokračujeme dál v cestě objevování našeho místa a role v dějinách. V případě, že historická studie zkoumá traumatickou událost, následují velmi důležité otázky soudu, historické paměti a historického odkazu, vyrovnání a vyrovnávání se s historií. Žáci a studenti objevují skutečný význam takových pojmů, jako jsou vina, odpovědnost, soud a trest a přemýšlejí o tom, co tyto pojmy znamenají v dnešním světě.</w:t>
            </w:r>
          </w:p>
          <w:p w:rsidR="005E42F0" w:rsidRDefault="005E42F0" w:rsidP="005E42F0">
            <w:pPr>
              <w:pStyle w:val="Nadpis3"/>
              <w:shd w:val="clear" w:color="auto" w:fill="FFFFFF"/>
              <w:spacing w:before="330" w:after="330"/>
              <w:rPr>
                <w:rFonts w:ascii="Georgia" w:hAnsi="Georgia" w:cs="Times New Roman"/>
                <w:color w:val="141412"/>
                <w:sz w:val="33"/>
                <w:szCs w:val="33"/>
              </w:rPr>
            </w:pPr>
            <w:r>
              <w:rPr>
                <w:rFonts w:ascii="Georgia" w:hAnsi="Georgia"/>
                <w:color w:val="141412"/>
                <w:sz w:val="33"/>
                <w:szCs w:val="33"/>
              </w:rPr>
              <w:lastRenderedPageBreak/>
              <w:t>Rozhodnutí angažovat se</w:t>
            </w:r>
          </w:p>
          <w:p w:rsidR="005E42F0" w:rsidRDefault="005E42F0" w:rsidP="005E42F0">
            <w:pPr>
              <w:pStyle w:val="Normlnweb"/>
              <w:shd w:val="clear" w:color="auto" w:fill="FFFFFF"/>
              <w:spacing w:before="0" w:beforeAutospacing="0" w:after="360" w:afterAutospacing="0"/>
              <w:rPr>
                <w:rFonts w:ascii="Helvetica" w:hAnsi="Helvetica" w:cs="Helvetica"/>
                <w:color w:val="141412"/>
              </w:rPr>
            </w:pPr>
            <w:r>
              <w:rPr>
                <w:rFonts w:ascii="Helvetica" w:hAnsi="Helvetica" w:cs="Helvetica"/>
                <w:color w:val="141412"/>
              </w:rPr>
              <w:t>V posledním zastavení, které nazýváme „rozhodnutí angažovat se“ se žáci a studenti zaměřují na to, jak se poznání a pochopení minulosti může promítnout do vnímání problémů dneška. Na příbězích ze současnosti poznávají, jak obyčejní lidé dnes a denně svými volbami a rozhodnutími utvářejí historii. Žáci a studenti začínají chápat, že i oni sami mají moc utvářet dějiny. Zjišťují, co to znamená být občanem demokratického státu, tedy zabývat se svými právy a odpovědností a pokusit se tak spoluvytvářet humánnější svět.</w:t>
            </w:r>
          </w:p>
          <w:p w:rsidR="00E33D2C" w:rsidRDefault="00E33D2C" w:rsidP="00CA307E">
            <w:pPr>
              <w:spacing w:after="160" w:line="254" w:lineRule="auto"/>
              <w:rPr>
                <w:rFonts w:ascii="Calibri" w:eastAsia="Tahoma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" w:type="dxa"/>
          </w:tcPr>
          <w:p w:rsidR="00E33D2C" w:rsidRDefault="00E33D2C">
            <w:pPr>
              <w:pStyle w:val="Standard"/>
            </w:pPr>
          </w:p>
        </w:tc>
      </w:tr>
      <w:tr w:rsidR="00E33D2C">
        <w:tc>
          <w:tcPr>
            <w:tcW w:w="9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F95765">
            <w:pPr>
              <w:pStyle w:val="Standard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Bodový scénář</w:t>
            </w:r>
          </w:p>
        </w:tc>
        <w:tc>
          <w:tcPr>
            <w:tcW w:w="56" w:type="dxa"/>
          </w:tcPr>
          <w:p w:rsidR="00E33D2C" w:rsidRDefault="00E33D2C">
            <w:pPr>
              <w:pStyle w:val="Standard"/>
            </w:pP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F95765">
            <w:pPr>
              <w:pStyle w:val="Standard"/>
              <w:ind w:left="29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Popis činnosti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F95765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Pomůcky a obsahové zajištění</w:t>
            </w: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F95765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Zahájení</w:t>
            </w:r>
          </w:p>
          <w:p w:rsidR="00E33D2C" w:rsidRDefault="00E33D2C">
            <w:pPr>
              <w:pStyle w:val="Standard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E33D2C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CA307E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1. blok</w:t>
            </w:r>
          </w:p>
          <w:p w:rsidR="00CA307E" w:rsidRDefault="00407A66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Představení programu Tváří v tvář historii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5F243B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Dataprojektor</w:t>
            </w:r>
          </w:p>
        </w:tc>
      </w:tr>
      <w:tr w:rsidR="00CA307E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7E" w:rsidRDefault="00CA307E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Přestávka, občerstvení, síťování</w:t>
            </w:r>
          </w:p>
          <w:p w:rsidR="00CA307E" w:rsidRDefault="00CA307E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7E" w:rsidRDefault="00CA307E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CA307E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7E" w:rsidRDefault="00CA307E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2. blok</w:t>
            </w:r>
          </w:p>
          <w:p w:rsidR="00CA307E" w:rsidRDefault="00407A66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Ukázková výuková lekce</w:t>
            </w:r>
            <w:r w:rsidR="005F243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, ve které budou účastníci v roli žáků.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7E" w:rsidRDefault="005F243B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Dataprojektor, reproduktory</w:t>
            </w: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F95765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Reflexe</w:t>
            </w:r>
          </w:p>
          <w:p w:rsidR="00E33D2C" w:rsidRDefault="00E33D2C">
            <w:pPr>
              <w:pStyle w:val="Standard"/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E33D2C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</w:tbl>
    <w:p w:rsidR="00E33D2C" w:rsidRDefault="00E33D2C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p w:rsidR="00E33D2C" w:rsidRDefault="00A46D79">
      <w:pPr>
        <w:pStyle w:val="Standard"/>
        <w:ind w:left="360"/>
      </w:pPr>
      <w:r>
        <w:rPr>
          <w:rFonts w:ascii="Calibri" w:hAnsi="Calibri" w:cs="Calibri"/>
          <w:sz w:val="22"/>
          <w:szCs w:val="22"/>
        </w:rPr>
        <w:t>Materiály</w:t>
      </w:r>
      <w:r w:rsidR="00F95765">
        <w:rPr>
          <w:rFonts w:ascii="Calibri" w:hAnsi="Calibri" w:cs="Calibri"/>
          <w:sz w:val="22"/>
          <w:szCs w:val="22"/>
        </w:rPr>
        <w:t>:</w:t>
      </w:r>
      <w:r w:rsidR="005F243B">
        <w:rPr>
          <w:rFonts w:ascii="Calibri" w:hAnsi="Calibri" w:cs="Calibri"/>
          <w:sz w:val="22"/>
          <w:szCs w:val="22"/>
        </w:rPr>
        <w:t xml:space="preserve"> zajistím si sám, je to pro mě pohodlnější</w:t>
      </w:r>
    </w:p>
    <w:p w:rsidR="00E33D2C" w:rsidRDefault="00E33D2C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p w:rsidR="00E33D2C" w:rsidRPr="00A46D79" w:rsidRDefault="00F95765" w:rsidP="00A46D79">
      <w:pPr>
        <w:pStyle w:val="Standard"/>
        <w:ind w:left="360"/>
      </w:pPr>
      <w:r>
        <w:rPr>
          <w:rFonts w:ascii="Calibri" w:hAnsi="Calibri" w:cs="Calibri"/>
          <w:sz w:val="22"/>
          <w:szCs w:val="22"/>
        </w:rPr>
        <w:t xml:space="preserve">Nárok na pomůcky, které má dodat projekt PPUČ: </w:t>
      </w:r>
      <w:r w:rsidR="005F243B" w:rsidRPr="005F243B">
        <w:rPr>
          <w:rFonts w:ascii="Calibri" w:hAnsi="Calibri" w:cs="Calibri"/>
          <w:bCs/>
          <w:sz w:val="22"/>
          <w:szCs w:val="22"/>
        </w:rPr>
        <w:t>žádné</w:t>
      </w:r>
    </w:p>
    <w:sectPr w:rsidR="00E33D2C" w:rsidRPr="00A46D7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247" w:right="1134" w:bottom="1247" w:left="1134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19F" w:rsidRDefault="00AD519F">
      <w:r>
        <w:separator/>
      </w:r>
    </w:p>
  </w:endnote>
  <w:endnote w:type="continuationSeparator" w:id="0">
    <w:p w:rsidR="00AD519F" w:rsidRDefault="00AD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F95765">
    <w:pPr>
      <w:pStyle w:val="Standard"/>
      <w:tabs>
        <w:tab w:val="center" w:pos="4536"/>
        <w:tab w:val="right" w:pos="9072"/>
      </w:tabs>
    </w:pPr>
    <w:r>
      <w:fldChar w:fldCharType="begin"/>
    </w:r>
    <w:r>
      <w:instrText xml:space="preserve"> PAGE </w:instrText>
    </w:r>
    <w:r>
      <w:fldChar w:fldCharType="separate"/>
    </w:r>
    <w:r w:rsidR="005E42F0">
      <w:rPr>
        <w:noProof/>
      </w:rPr>
      <w:t>2</w:t>
    </w:r>
    <w:r>
      <w:fldChar w:fldCharType="end"/>
    </w:r>
  </w:p>
  <w:p w:rsidR="00E002AC" w:rsidRDefault="00AD519F">
    <w:pPr>
      <w:pStyle w:val="Standard"/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F95765">
    <w:pPr>
      <w:pStyle w:val="Normln1"/>
      <w:tabs>
        <w:tab w:val="right" w:pos="14459"/>
      </w:tabs>
      <w:spacing w:line="240" w:lineRule="auto"/>
    </w:pPr>
    <w:r>
      <w:tab/>
      <w:t>Národní ústav pro vzdělávání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76320</wp:posOffset>
          </wp:positionH>
          <wp:positionV relativeFrom="paragraph">
            <wp:posOffset>-10080</wp:posOffset>
          </wp:positionV>
          <wp:extent cx="770760" cy="666000"/>
          <wp:effectExtent l="0" t="0" r="0" b="750"/>
          <wp:wrapTight wrapText="bothSides">
            <wp:wrapPolygon edited="0">
              <wp:start x="0" y="0"/>
              <wp:lineTo x="0" y="21006"/>
              <wp:lineTo x="20821" y="21006"/>
              <wp:lineTo x="20821" y="0"/>
              <wp:lineTo x="0" y="0"/>
            </wp:wrapPolygon>
          </wp:wrapTight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760" cy="666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002AC" w:rsidRDefault="00F95765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E002AC" w:rsidRDefault="00F95765">
    <w:pPr>
      <w:pStyle w:val="Normln1"/>
      <w:tabs>
        <w:tab w:val="right" w:pos="14459"/>
      </w:tabs>
      <w:spacing w:after="290" w:line="240" w:lineRule="auto"/>
    </w:pPr>
    <w:r>
      <w:tab/>
      <w:t>www.nuv.cz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19F" w:rsidRDefault="00AD519F">
      <w:r>
        <w:separator/>
      </w:r>
    </w:p>
  </w:footnote>
  <w:footnote w:type="continuationSeparator" w:id="0">
    <w:p w:rsidR="00AD519F" w:rsidRDefault="00AD5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AD51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F95765">
    <w:pPr>
      <w:pStyle w:val="Zhlav"/>
    </w:pPr>
    <w:r>
      <w:rPr>
        <w:noProof/>
      </w:rPr>
      <w:drawing>
        <wp:inline distT="0" distB="0" distL="0" distR="0">
          <wp:extent cx="5759280" cy="1238400"/>
          <wp:effectExtent l="0" t="0" r="0" b="0"/>
          <wp:docPr id="1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80" cy="12384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F4B70"/>
    <w:multiLevelType w:val="multilevel"/>
    <w:tmpl w:val="93745714"/>
    <w:styleLink w:val="WWNum1"/>
    <w:lvl w:ilvl="0">
      <w:numFmt w:val="bullet"/>
      <w:lvlText w:val="-"/>
      <w:lvlJc w:val="left"/>
      <w:pPr>
        <w:ind w:left="434" w:hanging="360"/>
      </w:pPr>
      <w:rPr>
        <w:rFonts w:eastAsia="Tahoma" w:cs="Tahoma"/>
      </w:rPr>
    </w:lvl>
    <w:lvl w:ilvl="1">
      <w:numFmt w:val="bullet"/>
      <w:lvlText w:val="o"/>
      <w:lvlJc w:val="left"/>
      <w:pPr>
        <w:ind w:left="1154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1874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594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314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034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754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474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194" w:hanging="360"/>
      </w:pPr>
      <w:rPr>
        <w:rFonts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2C"/>
    <w:rsid w:val="00407A66"/>
    <w:rsid w:val="004D536D"/>
    <w:rsid w:val="005E42F0"/>
    <w:rsid w:val="005F243B"/>
    <w:rsid w:val="0065210C"/>
    <w:rsid w:val="00867901"/>
    <w:rsid w:val="00916C07"/>
    <w:rsid w:val="00A46D79"/>
    <w:rsid w:val="00AD519F"/>
    <w:rsid w:val="00CA307E"/>
    <w:rsid w:val="00D64A23"/>
    <w:rsid w:val="00E33D2C"/>
    <w:rsid w:val="00F9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5B683-EE75-4BF2-AFC1-F62DF49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Standard"/>
    <w:next w:val="Textbody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Standard"/>
    <w:next w:val="Textbody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Standard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Textbody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nadpis"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ormln1">
    <w:name w:val="Normální1"/>
    <w:pPr>
      <w:widowControl/>
      <w:spacing w:line="276" w:lineRule="auto"/>
    </w:pPr>
    <w:rPr>
      <w:color w:val="auto"/>
      <w:sz w:val="22"/>
      <w:szCs w:val="22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eastAsia="Tahoma" w:cs="Tahoma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407A6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42F0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E42F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smalik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varivtvar.cz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Koubek Petr</cp:lastModifiedBy>
  <cp:revision>3</cp:revision>
  <cp:lastPrinted>2018-04-20T09:31:00Z</cp:lastPrinted>
  <dcterms:created xsi:type="dcterms:W3CDTF">2018-06-27T14:04:00Z</dcterms:created>
  <dcterms:modified xsi:type="dcterms:W3CDTF">2018-06-27T14:05:00Z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