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97" w:rsidRDefault="00AD7A3F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>Gramotnosti ve vzdělávacích oblastech - Předškolní vzdělávání</w:t>
      </w:r>
    </w:p>
    <w:p w:rsidR="00584F97" w:rsidRDefault="00AD7A3F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Čtenářská, matematická i digitální gramotnost se v předškolním vzdělávání navzájem propojují.  Podněty pro jejich rozvoj prolínají celým předškolním vzděláváním. Implicitně jsou zahrnuty ve všech vzdělávacích oblastech Rámcového vzdělávacího programu pro předškolní vzdělávání</w:t>
      </w:r>
      <w:r w:rsidR="00C1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(RVP PV, 2018)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Hrou, činnostmi se zapojením všech smyslů s důrazem na manipulativní činnosti (3D,</w:t>
      </w:r>
      <w:r w:rsidR="00F12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2D)</w:t>
      </w:r>
      <w:r w:rsidR="00F12BEA">
        <w:rPr>
          <w:rFonts w:ascii="Times New Roman" w:eastAsia="Times New Roman" w:hAnsi="Times New Roman" w:cs="Times New Roman"/>
          <w:color w:val="000000"/>
          <w:sz w:val="24"/>
          <w:szCs w:val="24"/>
        </w:rPr>
        <w:t>, prostřednictvím přímých zážitků,</w:t>
      </w:r>
      <w:r w:rsidR="00F12BEA" w:rsidRPr="00F12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2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situačního a prožitkového učení, s využitím přirozené zvídavosti dětí a jejich potřebou objevovat </w:t>
      </w:r>
      <w:r w:rsidR="00C17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podporujeme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kaž</w:t>
      </w:r>
      <w:r w:rsidR="00F12BEA">
        <w:rPr>
          <w:rFonts w:ascii="Times New Roman" w:eastAsia="Times New Roman" w:hAnsi="Times New Roman" w:cs="Times New Roman"/>
          <w:color w:val="000000"/>
          <w:sz w:val="24"/>
          <w:szCs w:val="24"/>
        </w:rPr>
        <w:t>dého dítěte rozvoj gramotností.</w:t>
      </w:r>
    </w:p>
    <w:p w:rsidR="00584F97" w:rsidRDefault="00AD7A3F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Právě v předškolním období </w:t>
      </w:r>
      <w:r w:rsidR="00F12BEA">
        <w:rPr>
          <w:rFonts w:ascii="Times New Roman" w:eastAsia="Times New Roman" w:hAnsi="Times New Roman" w:cs="Times New Roman"/>
          <w:color w:val="000000"/>
          <w:sz w:val="24"/>
          <w:szCs w:val="24"/>
        </w:rPr>
        <w:t>u každého dítěte rozvíjíme</w:t>
      </w:r>
      <w:r w:rsidR="000B0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vrozené</w:t>
      </w:r>
      <w:r w:rsidR="00F12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předpoklady a utváříme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základy pr</w:t>
      </w:r>
      <w:r w:rsidR="00F12BE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0B0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rozvoj čtenářských dovedností</w:t>
      </w:r>
      <w:r w:rsidR="00F12B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B0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matematických představ,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logického</w:t>
      </w:r>
      <w:r w:rsidR="000B0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 informatického myšlení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komunikační</w:t>
      </w:r>
      <w:r w:rsidR="000B03B3">
        <w:rPr>
          <w:rFonts w:ascii="Times New Roman" w:eastAsia="Times New Roman" w:hAnsi="Times New Roman" w:cs="Times New Roman"/>
          <w:color w:val="000000"/>
          <w:sz w:val="24"/>
          <w:szCs w:val="24"/>
        </w:rPr>
        <w:t>ch, kooperačních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řešitelsk</w:t>
      </w:r>
      <w:r w:rsidR="000B03B3">
        <w:rPr>
          <w:rFonts w:ascii="Times New Roman" w:eastAsia="Times New Roman" w:hAnsi="Times New Roman" w:cs="Times New Roman"/>
          <w:color w:val="000000"/>
          <w:sz w:val="24"/>
          <w:szCs w:val="24"/>
        </w:rPr>
        <w:t>ých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dovednost</w:t>
      </w:r>
      <w:r w:rsidR="000B03B3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B0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které jsou důležité pro </w:t>
      </w:r>
      <w:r w:rsidR="00F12BEA">
        <w:rPr>
          <w:rFonts w:ascii="Times New Roman" w:eastAsia="Times New Roman" w:hAnsi="Times New Roman" w:cs="Times New Roman"/>
          <w:color w:val="000000"/>
          <w:sz w:val="24"/>
          <w:szCs w:val="24"/>
        </w:rPr>
        <w:t>jeho další život.</w:t>
      </w:r>
    </w:p>
    <w:p w:rsidR="00C1729F" w:rsidRDefault="00C1729F">
      <w:pPr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</w:rPr>
        <w:br w:type="page"/>
      </w:r>
    </w:p>
    <w:p w:rsidR="00584F97" w:rsidRDefault="00AD7A3F">
      <w:pPr>
        <w:spacing w:after="200" w:line="360" w:lineRule="auto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</w:rPr>
        <w:lastRenderedPageBreak/>
        <w:t xml:space="preserve">Vymezení čtenářské gramotnosti </w:t>
      </w:r>
    </w:p>
    <w:p w:rsidR="000B03B3" w:rsidRDefault="00AD7A3F" w:rsidP="000B03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Čtenářská gramotnost (ČG) je schopnost využívat soubor znalostí, dovedností a postojů při práci s texty v nejširším slova smyslu. Utváří se celoživotně. Vzdělávání otevírá možnosti pro její systematický rozvoj. </w:t>
      </w:r>
    </w:p>
    <w:p w:rsidR="00CF32A6" w:rsidRPr="00CF32A6" w:rsidRDefault="00CF32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2A6">
        <w:rPr>
          <w:rFonts w:ascii="Times New Roman" w:hAnsi="Times New Roman" w:cs="Times New Roman"/>
          <w:sz w:val="24"/>
          <w:szCs w:val="24"/>
        </w:rPr>
        <w:t>Vstřícný vztah ke čtení chápeme jako základní předpokla</w:t>
      </w:r>
      <w:r>
        <w:rPr>
          <w:rFonts w:ascii="Times New Roman" w:hAnsi="Times New Roman" w:cs="Times New Roman"/>
          <w:sz w:val="24"/>
          <w:szCs w:val="24"/>
        </w:rPr>
        <w:t>d pro další rozvoj čtenářství a </w:t>
      </w:r>
      <w:r w:rsidRPr="00CF32A6">
        <w:rPr>
          <w:rFonts w:ascii="Times New Roman" w:hAnsi="Times New Roman" w:cs="Times New Roman"/>
          <w:sz w:val="24"/>
          <w:szCs w:val="24"/>
        </w:rPr>
        <w:t xml:space="preserve">čtenářské gramotnosti. Pokud u dítěte vznikne zaujetí četbou a vytvoří se také návyk pravidelného čtení, které mu přináší zážitek z četby, zvyšuje se šance, že se jeho čtenářské dovednosti a znalosti budou rozšiřovat. </w:t>
      </w:r>
    </w:p>
    <w:p w:rsidR="00584F97" w:rsidRPr="00CF32A6" w:rsidRDefault="00CF32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2A6">
        <w:rPr>
          <w:rFonts w:ascii="Times New Roman" w:hAnsi="Times New Roman" w:cs="Times New Roman"/>
          <w:sz w:val="24"/>
          <w:szCs w:val="24"/>
        </w:rPr>
        <w:t>Chceme, aby se z dětí stali nezávislí a přemýšliví čtenáři. Nezávislý čtenář uvážlivě volí četbu, reflektuje průběh svého čtení a čtenářství, využívá vhodné strategie a postupy při práci s texty.</w:t>
      </w:r>
    </w:p>
    <w:p w:rsidR="00584F97" w:rsidRDefault="00AD7A3F">
      <w:pPr>
        <w:spacing w:before="24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</w:rPr>
        <w:t>Čtenářská gramotnost v předškolním vzdělávání</w:t>
      </w:r>
    </w:p>
    <w:p w:rsidR="00CF32A6" w:rsidRDefault="00AD7A3F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Předškolní období je rozhodující pro založení vztahu dítěte ke knize, k seznamování s různými formami mluveného a čteného projevu.  Vedeme děti k rozvoji řeči a rozšiřování slovní zásoby, k pozornosti, soustředění a koncentraci, umění naslouchat, zapamatovat si a následně vše vyjádřit různými </w:t>
      </w:r>
      <w:r w:rsidR="00CF32A6">
        <w:rPr>
          <w:rFonts w:ascii="Times New Roman" w:eastAsia="Times New Roman" w:hAnsi="Times New Roman" w:cs="Times New Roman"/>
          <w:color w:val="000000"/>
          <w:sz w:val="24"/>
          <w:szCs w:val="24"/>
        </w:rPr>
        <w:t>způsoby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F32A6">
        <w:rPr>
          <w:rFonts w:ascii="Times New Roman" w:eastAsia="Times New Roman" w:hAnsi="Times New Roman" w:cs="Times New Roman"/>
          <w:color w:val="000000"/>
          <w:sz w:val="24"/>
          <w:szCs w:val="24"/>
        </w:rPr>
        <w:t>Čtenářskou gramotnost rozvíjíme</w:t>
      </w:r>
      <w:r w:rsidR="00B85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kladením otázek vedoucích k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porozumění obsahu a hledáním odpovědí na ně, odhalováním podstatných informací, formulováním hlavních myšlenek textu, předvídáním obsahu, odhadováním významu neznámých slov. Děti také tvoří vlastní díla (obrázkový seriál, ilustraci k textu či krátké záznamy), vyvozují závěry, diskutují   s ostatními, obhajují své názory nebo se učí přijmout názor druhých, reflektují své čtenářské zážitky.</w:t>
      </w:r>
      <w:r w:rsidR="00CF32A6" w:rsidRPr="00CF3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F32A6" w:rsidRDefault="00CF32A6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Zásadní úlohu pro rozvoj čtenářské gramotnosti </w:t>
      </w:r>
      <w:r w:rsidR="00B85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 nejranějšího věku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sehrává p</w:t>
      </w:r>
      <w:r w:rsidR="00B85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rostředí, které má dítěti poskytovat dostatek kvalitních podnětů, a to doma i v mateřské škole. Mateřská škola může rodinu v tomto ohledu hodně podpořit vlastním příkladem, vzájemným předáváním inspirace, zapojením rodičů do života školy. </w:t>
      </w:r>
    </w:p>
    <w:p w:rsidR="00C1729F" w:rsidRDefault="00C1729F">
      <w:pPr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</w:rPr>
        <w:br w:type="page"/>
      </w:r>
    </w:p>
    <w:p w:rsidR="00584F97" w:rsidRDefault="00AD7A3F">
      <w:pPr>
        <w:spacing w:after="20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</w:rPr>
        <w:lastRenderedPageBreak/>
        <w:t>Vymezení matematické gramotnosti</w:t>
      </w:r>
    </w:p>
    <w:p w:rsidR="00584F97" w:rsidRDefault="00AD7A3F" w:rsidP="00F43B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Matematická gramotnost je schopnost jedince poznat a pochopit roli, kterou hraje matematika ve světě, dělat dobře podložené úsudky a proniknout do matematiky tak, aby splňovala jeho životní potřeby</w:t>
      </w:r>
      <w:r w:rsidR="0010768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107687" w:rsidRPr="0010768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jako tvořivého, zainter</w:t>
      </w:r>
      <w:r w:rsidR="00F43B9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esovaného a přemýšlivého občana.</w:t>
      </w:r>
    </w:p>
    <w:p w:rsidR="00F43B94" w:rsidRDefault="00F43B94" w:rsidP="00F43B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</w:rPr>
      </w:pPr>
    </w:p>
    <w:p w:rsidR="00584F97" w:rsidRDefault="00AD7A3F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</w:rPr>
        <w:t>Matematická gramotnost v předškolním vzdělávání</w:t>
      </w:r>
    </w:p>
    <w:p w:rsidR="00584F97" w:rsidRDefault="00AD7A3F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předškolním vzdělávání podporujeme u dětí rozvoj prostorového vnímaní a vnímání kvantity. Při řešení problémů děti využívají metodu pokus-omyl, experimentování                           a postřehování.  Základním prostředkem pro získávání dovedností je </w:t>
      </w:r>
      <w:r w:rsidR="00B85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spontánní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hra, didaktická hra, manipulativní činnosti, situační učení, v geometrii pak modelování a konstruktivní hra. Při řešení logických úloh jsou u dětí rozvíjeny důležité myšlenkové operace (třídění, uspořádání, analýza, syntéza, analogie) a práce s podmínkami. Vedeme děti k objasňování postupů a řešení. Vhodným nástrojem je i práce s chybou.</w:t>
      </w:r>
    </w:p>
    <w:p w:rsidR="00584F97" w:rsidRDefault="00AD7A3F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předškolním vzdělávání využíváme „čtení“ obrázkového písma a didakticky laděných pohádek, hádanek, písniček a říkanek s matematickým obsahem. Dítě předškolního věku využívá symbolický jazyk (např. šipky) a rozpozná význam piktogramů, vhodných pro svou věkovou kategorii. Zdokonaluje se při používání pojmů, rozšiřuje si svou slovní zásobu adekvátně věku a situaci. Na své vývojové úrovni zobecňuje získané dílčí zkušenosti a znalosti, objevuje zákonitosti a zdůvodňuje (argumentuje), aktivně používá různé jednoduché matematické jazyky (záznamy). </w:t>
      </w:r>
    </w:p>
    <w:p w:rsidR="00C1729F" w:rsidRDefault="00C1729F">
      <w:pPr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</w:rPr>
        <w:br w:type="page"/>
      </w:r>
    </w:p>
    <w:p w:rsidR="00584F97" w:rsidRDefault="00AD7A3F">
      <w:pPr>
        <w:spacing w:after="20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</w:rPr>
        <w:lastRenderedPageBreak/>
        <w:t>Vymezení digitální gramotnosti</w:t>
      </w:r>
    </w:p>
    <w:p w:rsidR="00584F97" w:rsidRDefault="00AD7A3F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Digitální gramotnost je schopnost uplatnit získané vědomosti dovednosti, návyky, postoje           a hodnoty pro bezpečné, sebejisté, kritické a tvořivé využívání digitálních technologií při práci, při učení, ve volném čase i při svém zapojení do společenského života.</w:t>
      </w:r>
    </w:p>
    <w:p w:rsidR="00584F97" w:rsidRDefault="00AD7A3F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</w:rPr>
        <w:t>Digitální gramotnost v předškolním vzdělávání</w:t>
      </w:r>
    </w:p>
    <w:p w:rsidR="00584F97" w:rsidRDefault="00AD7A3F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předškolním vzdělávání se dítě učí identifikovat problémy a možnosti řešení hlavně pomocí prožitku v reálných situacích z jeho běžného života prostřednictvím manipulativních činností v reálném prostředí. Mezi psychické potřeby dítěte patří přímá plnohodn</w:t>
      </w:r>
      <w:r w:rsidR="00F43B94">
        <w:rPr>
          <w:rFonts w:ascii="Times New Roman" w:eastAsia="Times New Roman" w:hAnsi="Times New Roman" w:cs="Times New Roman"/>
          <w:sz w:val="24"/>
          <w:szCs w:val="24"/>
        </w:rPr>
        <w:t>otná komunikace a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emoční vřelost. To žádná technologie dítěti nedopřeje. I při zachování těchto specifik můžeme dobře rozvíjet digitální gramotnost dětí. </w:t>
      </w:r>
    </w:p>
    <w:p w:rsidR="00584F97" w:rsidRDefault="00AD7A3F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Digitální gramotnost lze rozdělit do tří kategorií, z nichž pouze v jedné je zapotřebí používat technologie. </w:t>
      </w:r>
    </w:p>
    <w:p w:rsidR="00584F97" w:rsidRDefault="00AD7A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Digitální kompetence dětí – lze bez technologií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unplugged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84F97" w:rsidRDefault="00AD7A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Informatické myšlení dětí - lze bez technologií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unplugged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84F97" w:rsidRDefault="00AD7A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Technologie jako didaktický prostředek - s technologiemi (učitel, případně dítě)</w:t>
      </w:r>
    </w:p>
    <w:p w:rsidR="00584F97" w:rsidRDefault="00AD7A3F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 toho vyplývá, že rozvoj digitální gramotnosti dětí není závislý na </w:t>
      </w:r>
      <w:r w:rsidR="00C1729F">
        <w:rPr>
          <w:rFonts w:ascii="Times New Roman" w:eastAsia="Times New Roman" w:hAnsi="Times New Roman" w:cs="Times New Roman"/>
          <w:b/>
          <w:sz w:val="24"/>
          <w:szCs w:val="24"/>
        </w:rPr>
        <w:t xml:space="preserve">přímém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používání technologií</w:t>
      </w:r>
      <w:r w:rsidR="00C1729F">
        <w:rPr>
          <w:rFonts w:ascii="Times New Roman" w:eastAsia="Times New Roman" w:hAnsi="Times New Roman" w:cs="Times New Roman"/>
          <w:b/>
          <w:sz w:val="24"/>
          <w:szCs w:val="24"/>
        </w:rPr>
        <w:t xml:space="preserve"> dítětem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84F97" w:rsidRDefault="00AD7A3F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Digitální kompetence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dětí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rozvíjíme vyprávěním, sdílením, exkurzemi, příběhy, jejichž prostřednictvím je dítě seznamováno se světem technologií, významem technologií v našem životě, přínosy i riziky, které jejich využívání přinášejí (zdraví, právní normy, etika), zpravidla bez přímého používání technologií dítětem.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vhodné děti seznamovat s myšlenkou, že digitální technologie nejsou dobré ani zlé</w:t>
      </w:r>
      <w:r>
        <w:rPr>
          <w:rFonts w:ascii="Times New Roman" w:eastAsia="Times New Roman" w:hAnsi="Times New Roman" w:cs="Times New Roman"/>
          <w:sz w:val="24"/>
          <w:szCs w:val="24"/>
        </w:rPr>
        <w:t>,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áleží na tom, jak s nimi zacházíme.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rozvoji digitálních kompetencí dětí napomáhá také poznání, že digitální technologie mohou pomáhat dětem i dospělým s handicapem. Staly se nezbytností v mnoha profesích, a to nejen ve vysoce odborných (např. zdravotnictví, letový provoz, doprava), ale i ve zcela běžných (např. pokladní,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průvodčí, řidič). </w:t>
      </w:r>
      <w:r w:rsidR="00F43B94">
        <w:rPr>
          <w:rFonts w:ascii="Times New Roman" w:eastAsia="Times New Roman" w:hAnsi="Times New Roman" w:cs="Times New Roman"/>
          <w:sz w:val="24"/>
          <w:szCs w:val="24"/>
        </w:rPr>
        <w:t>Některé profese můžeme dětem přiblížit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vhodný</w:t>
      </w:r>
      <w:r w:rsidR="00F43B94"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konkrétní</w:t>
      </w:r>
      <w:r w:rsidR="00F43B94"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příklad</w:t>
      </w:r>
      <w:r w:rsidR="00F43B94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formou prožitkového učení, exkurzí, a to i ve spolupráci s rodiči. </w:t>
      </w:r>
    </w:p>
    <w:p w:rsidR="00584F97" w:rsidRDefault="00AD7A3F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Informatické myšlení dětí </w:t>
      </w:r>
      <w:r>
        <w:rPr>
          <w:rFonts w:ascii="Times New Roman" w:eastAsia="Times New Roman" w:hAnsi="Times New Roman" w:cs="Times New Roman"/>
          <w:sz w:val="24"/>
          <w:szCs w:val="24"/>
        </w:rPr>
        <w:t>se prolíná předškolním vzděláváním v mnoha oblastech. Má přímou vazbu na čtenářskou a matematickou gramotnost. Projevuje se například při práci s příběhem, kdy děti hledají souvislosti, možnosti řešení, pracují s</w:t>
      </w:r>
      <w:r w:rsidR="00F43B94">
        <w:rPr>
          <w:rFonts w:ascii="Times New Roman" w:eastAsia="Times New Roman" w:hAnsi="Times New Roman" w:cs="Times New Roman"/>
          <w:sz w:val="24"/>
          <w:szCs w:val="24"/>
        </w:rPr>
        <w:t xml:space="preserve"> otevřeným koncem, komunikují a </w:t>
      </w:r>
      <w:r>
        <w:rPr>
          <w:rFonts w:ascii="Times New Roman" w:eastAsia="Times New Roman" w:hAnsi="Times New Roman" w:cs="Times New Roman"/>
          <w:sz w:val="24"/>
          <w:szCs w:val="24"/>
        </w:rPr>
        <w:t>spolupracují. Pro</w:t>
      </w:r>
      <w:r w:rsidR="00F43B94">
        <w:rPr>
          <w:rFonts w:ascii="Times New Roman" w:eastAsia="Times New Roman" w:hAnsi="Times New Roman" w:cs="Times New Roman"/>
          <w:sz w:val="24"/>
          <w:szCs w:val="24"/>
        </w:rPr>
        <w:t>pojení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 matematickou gramotností spatřujeme v logických úlohách, kdy děti hledají algoritmy řešení (řada naplánovaných kroků), v řešení myšlenkových i praktických problémů. K rozvoji informatického myšlení dítěte učitel přispívá podporou kreativity, kdy dítě hledá různé možnosti a varianty, předkládá nápady, nová a alternativní řešení.</w:t>
      </w:r>
    </w:p>
    <w:p w:rsidR="00584F97" w:rsidRDefault="00AD7A3F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Technologie jako didaktický prostředek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 v mateřské škole využíván zpravidla učitelem. Tam, kde to má smysl, předkládá učitel dítěti technologie k p</w:t>
      </w:r>
      <w:r w:rsidR="00F43B94">
        <w:rPr>
          <w:rFonts w:ascii="Times New Roman" w:eastAsia="Times New Roman" w:hAnsi="Times New Roman" w:cs="Times New Roman"/>
          <w:sz w:val="24"/>
          <w:szCs w:val="24"/>
        </w:rPr>
        <w:t>římému použití. Tím vede dítě k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přijímání odpovědnosti za svěřené pomůcky (např. digitální lupu, tablet) a podporuje jeho samostatnost.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Vhodně zvolené digitální technologie </w:t>
      </w:r>
      <w:r w:rsidR="00F4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mohou být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přínosné v oblasti badatelské (např. digitální mikroskop) nebo umělecké (např. digitální f</w:t>
      </w:r>
      <w:r w:rsidR="00F43B94">
        <w:rPr>
          <w:rFonts w:ascii="Times New Roman" w:eastAsia="Times New Roman" w:hAnsi="Times New Roman" w:cs="Times New Roman"/>
          <w:color w:val="000000"/>
          <w:sz w:val="24"/>
          <w:szCs w:val="24"/>
        </w:rPr>
        <w:t>otoaparát, digitální kamera), k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záznamu informací nebo zážitků a jejich následnému užívání (prohlížení, vyprávění). </w:t>
      </w:r>
    </w:p>
    <w:p w:rsidR="00584F97" w:rsidRDefault="00AD7A3F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 úspěšné rozvíjení digitální gramotnosti dětí potřebujeme digitálně gramotné učitele, kteří umí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smysluplně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3B94" w:rsidRPr="00F43B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citlivě</w:t>
      </w:r>
      <w:r w:rsidR="00F4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využívat </w:t>
      </w:r>
      <w:r w:rsidR="00836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možnosti, které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digitální technologie</w:t>
      </w:r>
      <w:r w:rsidR="00836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nabízejí,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vhodně je používat při práci s</w:t>
      </w:r>
      <w:r w:rsidR="008362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dětmi</w:t>
      </w:r>
      <w:r w:rsidR="0083620A">
        <w:rPr>
          <w:rFonts w:ascii="Times New Roman" w:eastAsia="Times New Roman" w:hAnsi="Times New Roman" w:cs="Times New Roman"/>
          <w:color w:val="000000"/>
          <w:sz w:val="24"/>
          <w:szCs w:val="24"/>
        </w:rPr>
        <w:t>, a to zejména tam, kde to jinak nejde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84F97" w:rsidRDefault="00584F97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</w:p>
    <w:sectPr w:rsidR="00584F97">
      <w:headerReference w:type="default" r:id="rId8"/>
      <w:footerReference w:type="default" r:id="rId9"/>
      <w:pgSz w:w="11906" w:h="16838"/>
      <w:pgMar w:top="2552" w:right="1418" w:bottom="2268" w:left="1418" w:header="68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B98" w:rsidRDefault="00985B98">
      <w:pPr>
        <w:spacing w:after="0" w:line="240" w:lineRule="auto"/>
      </w:pPr>
      <w:r>
        <w:separator/>
      </w:r>
    </w:p>
  </w:endnote>
  <w:endnote w:type="continuationSeparator" w:id="0">
    <w:p w:rsidR="00985B98" w:rsidRDefault="0098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 Condensed">
    <w:altName w:val="Arial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F97" w:rsidRDefault="00AD7A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1242060</wp:posOffset>
          </wp:positionH>
          <wp:positionV relativeFrom="paragraph">
            <wp:posOffset>-475613</wp:posOffset>
          </wp:positionV>
          <wp:extent cx="3502537" cy="777182"/>
          <wp:effectExtent l="0" t="0" r="0" b="0"/>
          <wp:wrapNone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84F97" w:rsidRDefault="00584F97">
    <w:pPr>
      <w:ind w:left="426"/>
      <w:rPr>
        <w:sz w:val="15"/>
        <w:szCs w:val="15"/>
      </w:rPr>
    </w:pPr>
  </w:p>
  <w:p w:rsidR="00584F97" w:rsidRDefault="00AD7A3F">
    <w:pPr>
      <w:ind w:left="426"/>
      <w:jc w:val="center"/>
      <w:rPr>
        <w:rFonts w:ascii="Roboto Condensed" w:eastAsia="Roboto Condensed" w:hAnsi="Roboto Condensed" w:cs="Roboto Condensed"/>
        <w:color w:val="808080"/>
        <w:sz w:val="15"/>
        <w:szCs w:val="15"/>
      </w:rPr>
    </w:pPr>
    <w:r>
      <w:rPr>
        <w:rFonts w:ascii="Roboto Condensed" w:eastAsia="Roboto Condensed" w:hAnsi="Roboto Condensed" w:cs="Roboto Condensed"/>
        <w:color w:val="808080"/>
        <w:sz w:val="15"/>
        <w:szCs w:val="15"/>
      </w:rPr>
      <w:t xml:space="preserve">Podpora práce učitelů (PPUČ) - systémový projekt Národního ústavu pro vzdělávání - </w:t>
    </w:r>
    <w:r>
      <w:rPr>
        <w:rFonts w:ascii="Roboto Condensed" w:eastAsia="Roboto Condensed" w:hAnsi="Roboto Condensed" w:cs="Roboto Condensed"/>
        <w:b/>
        <w:color w:val="808080"/>
        <w:sz w:val="15"/>
        <w:szCs w:val="15"/>
      </w:rPr>
      <w:t>www.ppuc.cz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B98" w:rsidRDefault="00985B98">
      <w:pPr>
        <w:spacing w:after="0" w:line="240" w:lineRule="auto"/>
      </w:pPr>
      <w:r>
        <w:separator/>
      </w:r>
    </w:p>
  </w:footnote>
  <w:footnote w:type="continuationSeparator" w:id="0">
    <w:p w:rsidR="00985B98" w:rsidRDefault="00985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F97" w:rsidRDefault="00AD7A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 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3356706</wp:posOffset>
          </wp:positionH>
          <wp:positionV relativeFrom="paragraph">
            <wp:posOffset>-16278</wp:posOffset>
          </wp:positionV>
          <wp:extent cx="2402744" cy="309880"/>
          <wp:effectExtent l="0" t="0" r="0" b="0"/>
          <wp:wrapNone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2744" cy="309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20550</wp:posOffset>
          </wp:positionV>
          <wp:extent cx="1523473" cy="583200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3473" cy="583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3979545</wp:posOffset>
          </wp:positionH>
          <wp:positionV relativeFrom="paragraph">
            <wp:posOffset>371069</wp:posOffset>
          </wp:positionV>
          <wp:extent cx="1779905" cy="187960"/>
          <wp:effectExtent l="0" t="0" r="0" b="0"/>
          <wp:wrapNone/>
          <wp:docPr id="1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9905" cy="187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297"/>
    <w:multiLevelType w:val="multilevel"/>
    <w:tmpl w:val="F4CA7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4542F8A"/>
    <w:multiLevelType w:val="multilevel"/>
    <w:tmpl w:val="0400B51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97"/>
    <w:rsid w:val="00071878"/>
    <w:rsid w:val="000B03B3"/>
    <w:rsid w:val="00107687"/>
    <w:rsid w:val="00417038"/>
    <w:rsid w:val="00511B1D"/>
    <w:rsid w:val="00584F97"/>
    <w:rsid w:val="00746BBD"/>
    <w:rsid w:val="0083620A"/>
    <w:rsid w:val="00985B98"/>
    <w:rsid w:val="00AD7A3F"/>
    <w:rsid w:val="00B8573E"/>
    <w:rsid w:val="00BE531B"/>
    <w:rsid w:val="00C1729F"/>
    <w:rsid w:val="00CF32A6"/>
    <w:rsid w:val="00F12BEA"/>
    <w:rsid w:val="00F4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205F"/>
  <w15:docId w15:val="{CBE00644-714A-4A9E-ACBD-F6A2AD5C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DB2"/>
  </w:style>
  <w:style w:type="paragraph" w:styleId="Zpat">
    <w:name w:val="footer"/>
    <w:basedOn w:val="Normln"/>
    <w:link w:val="Zpat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DB2"/>
  </w:style>
  <w:style w:type="character" w:styleId="Zdraznnjemn">
    <w:name w:val="Subtle Emphasis"/>
    <w:basedOn w:val="Standardnpsmoodstavce"/>
    <w:uiPriority w:val="19"/>
    <w:qFormat/>
    <w:rsid w:val="0046534E"/>
    <w:rPr>
      <w:i/>
      <w:iCs/>
      <w:color w:val="404040" w:themeColor="text1" w:themeTint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3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FD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44A31"/>
    <w:pPr>
      <w:ind w:left="720"/>
      <w:contextualSpacing/>
    </w:p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7iE+mCBpCxYZi3J34DIKdbCAog==">AMUW2mVsc3B0mg5Doc6kyW22SVOt/+hYf39G4RDcI5XWR8a6oOVseYr3THs3KJXYhJ+wYlq1OwJZ+VQbUESnE5wDqfuyIgNgKVWZ9GmduHs+sxBv9h6iZjUgiICkbvTs1VENpuy/wwNS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1123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Adéla Zehringerová</cp:lastModifiedBy>
  <cp:revision>4</cp:revision>
  <dcterms:created xsi:type="dcterms:W3CDTF">2019-11-26T13:10:00Z</dcterms:created>
  <dcterms:modified xsi:type="dcterms:W3CDTF">2019-12-09T10:04:00Z</dcterms:modified>
</cp:coreProperties>
</file>