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Didaktický potenciál textu - PRO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VÝKLAD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Jaký má být text pro hodinu naší výuky, aby ho žáci četli s užitkem i s prožitkem? Co má obsahovat?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8"/>
          <w:szCs w:val="8"/>
        </w:rPr>
      </w:pPr>
      <w:r w:rsidDel="00000000" w:rsidR="00000000" w:rsidRPr="00000000">
        <w:rPr>
          <w:rtl w:val="0"/>
        </w:rPr>
        <w:t xml:space="preserve">Hledáme text pro hodinu svého předmětu. Možná už máme v ruce text, který by mohl být použitelný. Ale jak poznáme, že se opravdu hodí? Hodí se k tomu, co jsme v naší třídě už četli? Hodí se k mým žákům, jak je znám?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Ale kromě znalosti toho, jaké čtenáře máme ve třídě, bychom měli pro výběr textu také dobře znát cíl své hodiny, ve které se má s textem pracovat. Avšak podle čeho poznáme, že nalezený </w:t>
      </w:r>
      <w:r w:rsidDel="00000000" w:rsidR="00000000" w:rsidRPr="00000000">
        <w:rPr>
          <w:color w:val="800000"/>
          <w:rtl w:val="0"/>
        </w:rPr>
        <w:t xml:space="preserve">text pro náš cíl</w:t>
      </w:r>
      <w:r w:rsidDel="00000000" w:rsidR="00000000" w:rsidRPr="00000000">
        <w:rPr>
          <w:rtl w:val="0"/>
        </w:rPr>
        <w:t xml:space="preserve"> vyhovuje? Co máme v textech hledat, abychom našli ten pravý?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8"/>
          <w:szCs w:val="8"/>
        </w:rPr>
      </w:pPr>
      <w:r w:rsidDel="00000000" w:rsidR="00000000" w:rsidRPr="00000000">
        <w:rPr>
          <w:b w:val="1"/>
          <w:rtl w:val="0"/>
        </w:rPr>
        <w:t xml:space="preserve">Text o něčem vypráví nebo o něčem pojednává</w:t>
      </w:r>
      <w:r w:rsidDel="00000000" w:rsidR="00000000" w:rsidRPr="00000000">
        <w:rPr>
          <w:rtl w:val="0"/>
        </w:rPr>
        <w:t xml:space="preserve"> - co z tohoto </w:t>
      </w:r>
      <w:r w:rsidDel="00000000" w:rsidR="00000000" w:rsidRPr="00000000">
        <w:rPr>
          <w:b w:val="1"/>
          <w:rtl w:val="0"/>
        </w:rPr>
        <w:t xml:space="preserve">obsahu</w:t>
      </w:r>
      <w:r w:rsidDel="00000000" w:rsidR="00000000" w:rsidRPr="00000000">
        <w:rPr>
          <w:rtl w:val="0"/>
        </w:rPr>
        <w:t xml:space="preserve"> se dá využít pro rozvoj žákova čtení a čtenářství? A co se bude hodit i pro žákovo učení příslušné látce, když čteme v některém z předmětů?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Text je určitým způsobem napsán</w:t>
      </w:r>
      <w:r w:rsidDel="00000000" w:rsidR="00000000" w:rsidRPr="00000000">
        <w:rPr>
          <w:rtl w:val="0"/>
        </w:rPr>
        <w:t xml:space="preserve">, má více nebo méně obvyklou </w:t>
      </w:r>
      <w:r w:rsidDel="00000000" w:rsidR="00000000" w:rsidRPr="00000000">
        <w:rPr>
          <w:b w:val="1"/>
          <w:rtl w:val="0"/>
        </w:rPr>
        <w:t xml:space="preserve">formu</w:t>
      </w:r>
      <w:r w:rsidDel="00000000" w:rsidR="00000000" w:rsidRPr="00000000">
        <w:rPr>
          <w:rtl w:val="0"/>
        </w:rPr>
        <w:t xml:space="preserve">, používá známých i nových </w:t>
      </w:r>
      <w:r w:rsidDel="00000000" w:rsidR="00000000" w:rsidRPr="00000000">
        <w:rPr>
          <w:b w:val="1"/>
          <w:rtl w:val="0"/>
        </w:rPr>
        <w:t xml:space="preserve">vyjadřovacích prostředků</w:t>
      </w:r>
      <w:r w:rsidDel="00000000" w:rsidR="00000000" w:rsidRPr="00000000">
        <w:rPr>
          <w:rtl w:val="0"/>
        </w:rPr>
        <w:t xml:space="preserve"> – co z jeho formy by se měli žáci naučit poznávat i chápat, aby se rozvíjelo jejich čtení a čtenářství?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Čtyři pomocná hlediska pro posuzování potenciálu textů pro rozvíjení čtenáře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1) Smysl textu a autorský záměr (o co důležitého v textu jde)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142" w:hanging="142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• </w:t>
      </w:r>
      <w:r w:rsidDel="00000000" w:rsidR="00000000" w:rsidRPr="00000000">
        <w:rPr>
          <w:b w:val="1"/>
          <w:i w:val="1"/>
          <w:rtl w:val="0"/>
        </w:rPr>
        <w:t xml:space="preserve">poselství textu – proč je cenné, že tento text vůbec existuje?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</w:t>
      </w:r>
      <w:r w:rsidDel="00000000" w:rsidR="00000000" w:rsidRPr="00000000">
        <w:rPr>
          <w:rtl w:val="0"/>
        </w:rPr>
        <w:t xml:space="preserve">Co mám jako čtenář z toho textu získat? Co mi chce text sdělit, co ve mně vzbudit?)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• </w:t>
      </w:r>
      <w:r w:rsidDel="00000000" w:rsidR="00000000" w:rsidRPr="00000000">
        <w:rPr>
          <w:b w:val="1"/>
          <w:i w:val="1"/>
          <w:rtl w:val="0"/>
        </w:rPr>
        <w:t xml:space="preserve">velká/nosná myšlenka nebo velký lyrický prožitek – jaké je shrnutí hlavního poznatku z textu, nebo jaký pocit, dojem, náladu text vyvolává?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</w:t>
      </w:r>
      <w:r w:rsidDel="00000000" w:rsidR="00000000" w:rsidRPr="00000000">
        <w:rPr>
          <w:rtl w:val="0"/>
        </w:rPr>
        <w:t xml:space="preserve">Co je mezi všemi myšlenkami v textu to nejdůležitější? Je v textu jen jedna taková hlavní, nosná myšlenka, nebo mohu obhájit, že stejně důležitá je i některá jiná myšlenka? Který cit či nálada lyrickému textu dominuje, který cit nebo dojem má text vyvolat a jaký prožitek má přinášet?)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left="142" w:hanging="142"/>
        <w:jc w:val="both"/>
        <w:rPr>
          <w:b w:val="1"/>
          <w:i w:val="1"/>
        </w:rPr>
        <w:sectPr>
          <w:headerReference r:id="rId7" w:type="default"/>
          <w:footerReference r:id="rId8" w:type="default"/>
          <w:pgSz w:h="16838" w:w="11906" w:orient="portrait"/>
          <w:pgMar w:bottom="3261" w:top="1701" w:left="1134" w:right="1134" w:header="284" w:footer="874"/>
          <w:pgNumType w:start="1"/>
        </w:sectPr>
      </w:pPr>
      <w:r w:rsidDel="00000000" w:rsidR="00000000" w:rsidRPr="00000000">
        <w:rPr>
          <w:b w:val="1"/>
          <w:i w:val="1"/>
          <w:rtl w:val="0"/>
        </w:rPr>
        <w:t xml:space="preserve">• hlavní pojmy – o které jevy a souvislosti v textu jde?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6"/>
        <w:tblGridChange w:id="0">
          <w:tblGrid>
            <w:gridCol w:w="9486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lineRule="auto"/>
        <w:ind w:left="142" w:hanging="14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7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2) Čtenář a text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komu je text určen, koho může zaujmout, komu být prospěšný </w:t>
      </w:r>
    </w:p>
    <w:p w:rsidR="00000000" w:rsidDel="00000000" w:rsidP="00000000" w:rsidRDefault="00000000" w:rsidRPr="00000000" w14:paraId="00000022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čím obsah i jeho zpracování odpovídá žákově vyspělosti (osobnostní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i </w:t>
      </w:r>
      <w:r w:rsidDel="00000000" w:rsidR="00000000" w:rsidRPr="00000000">
        <w:rPr>
          <w:b w:val="1"/>
          <w:i w:val="1"/>
          <w:rtl w:val="0"/>
        </w:rPr>
        <w:t xml:space="preserve">znalostní) nebo ji překračuje</w:t>
      </w:r>
    </w:p>
    <w:p w:rsidR="00000000" w:rsidDel="00000000" w:rsidP="00000000" w:rsidRDefault="00000000" w:rsidRPr="00000000" w14:paraId="00000023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co v textu souvisí s dosavadními poznatky žáků v naší třídě v daném vyučovacím předmětu</w:t>
      </w:r>
    </w:p>
    <w:p w:rsidR="00000000" w:rsidDel="00000000" w:rsidP="00000000" w:rsidRDefault="00000000" w:rsidRPr="00000000" w14:paraId="00000024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co v obsahu (tématu i myšlenkách a záměrech) souvisí se životem žáka nebo jeho zkušenostmi</w:t>
      </w:r>
    </w:p>
    <w:p w:rsidR="00000000" w:rsidDel="00000000" w:rsidP="00000000" w:rsidRDefault="00000000" w:rsidRPr="00000000" w14:paraId="00000025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čím může být text pro žáka důvěryhodný a čím ne</w:t>
      </w:r>
    </w:p>
    <w:p w:rsidR="00000000" w:rsidDel="00000000" w:rsidP="00000000" w:rsidRDefault="00000000" w:rsidRPr="00000000" w14:paraId="00000026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6"/>
        <w:tblGridChange w:id="0">
          <w:tblGrid>
            <w:gridCol w:w="9486"/>
          </w:tblGrid>
        </w:tblGridChange>
      </w:tblGrid>
      <w:tr>
        <w:tc>
          <w:tcPr/>
          <w:p w:rsidR="00000000" w:rsidDel="00000000" w:rsidP="00000000" w:rsidRDefault="00000000" w:rsidRPr="00000000" w14:paraId="00000027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lineRule="auto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20" w:lineRule="auto"/>
        <w:ind w:left="142" w:hanging="142"/>
        <w:jc w:val="both"/>
        <w:rPr>
          <w:b w:val="1"/>
          <w:i w:val="1"/>
        </w:rPr>
        <w:sectPr>
          <w:headerReference r:id="rId9" w:type="default"/>
          <w:footerReference r:id="rId10" w:type="default"/>
          <w:type w:val="continuous"/>
          <w:pgSz w:h="16838" w:w="11906" w:orient="portrait"/>
          <w:pgMar w:bottom="1985" w:top="1701" w:left="1134" w:right="1134" w:header="284" w:footer="87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3) Žánr textu a způsob podání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 kterého žánru - tj. který soubor typických postupů a prvků – autor využívá, jak souvisí zvolený formát i jazyk textu s jeho obsahem </w:t>
      </w:r>
    </w:p>
    <w:p w:rsidR="00000000" w:rsidDel="00000000" w:rsidP="00000000" w:rsidRDefault="00000000" w:rsidRPr="00000000" w14:paraId="00000043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 je forma textu čtenářům známá nebo s ní mají malou zkušenost; které žákovy znalosti a zkušenosti z četby mu pomohou k tomu, aby tomuto textu lépe porozuměl a pochopil jeho smysl</w:t>
      </w:r>
    </w:p>
    <w:p w:rsidR="00000000" w:rsidDel="00000000" w:rsidP="00000000" w:rsidRDefault="00000000" w:rsidRPr="00000000" w14:paraId="00000044">
      <w:pPr>
        <w:spacing w:after="120" w:lineRule="auto"/>
        <w:ind w:left="142" w:hanging="14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 jaký je autorův postoj k tomu, co nám sděluje (zda se k tomu staví vážně a věcně, nebo zábavně, nebo s odstupem, zda nás chce spíše provokovat, anebo ujišťovat atd.)</w:t>
      </w:r>
    </w:p>
    <w:tbl>
      <w:tblPr>
        <w:tblStyle w:val="Table3"/>
        <w:tblW w:w="948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6"/>
        <w:tblGridChange w:id="0">
          <w:tblGrid>
            <w:gridCol w:w="9486"/>
          </w:tblGrid>
        </w:tblGridChange>
      </w:tblGrid>
      <w:tr>
        <w:tc>
          <w:tcPr/>
          <w:p w:rsidR="00000000" w:rsidDel="00000000" w:rsidP="00000000" w:rsidRDefault="00000000" w:rsidRPr="00000000" w14:paraId="00000045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20" w:lineRule="auto"/>
              <w:jc w:val="both"/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20" w:lineRule="auto"/>
        <w:ind w:left="142" w:hanging="142"/>
        <w:jc w:val="both"/>
        <w:rPr>
          <w:rFonts w:ascii="Cambria" w:cs="Cambria" w:eastAsia="Cambria" w:hAnsi="Cambria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jc w:val="both"/>
        <w:rPr>
          <w:highlight w:val="yellow"/>
        </w:rPr>
      </w:pPr>
      <w:bookmarkStart w:colFirst="0" w:colLast="0" w:name="_heading=h.428hjvxd698b" w:id="0"/>
      <w:bookmarkEnd w:id="0"/>
      <w:r w:rsidDel="00000000" w:rsidR="00000000" w:rsidRPr="00000000">
        <w:rPr>
          <w:highlight w:val="yellow"/>
          <w:rtl w:val="0"/>
        </w:rPr>
        <w:t xml:space="preserve">4) Forma a jazykové prostředky textu ve vztahu k porozumění</w:t>
      </w:r>
    </w:p>
    <w:p w:rsidR="00000000" w:rsidDel="00000000" w:rsidP="00000000" w:rsidRDefault="00000000" w:rsidRPr="00000000" w14:paraId="00000051">
      <w:pPr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lineRule="auto"/>
        <w:ind w:left="284" w:hanging="284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•  kterým  klíčovým místům (kterým výrazům nebo konstrukcím) musí žák dobře porozumět, aby  dobře pochopil text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lineRule="auto"/>
        <w:ind w:left="284" w:hanging="284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které  jazykové znalosti pro porozumění takovým místům čtenář potřebuje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lineRule="auto"/>
        <w:ind w:left="284" w:hanging="284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která místa mohou být pro čtenáře matoucí a proč</w:t>
      </w:r>
    </w:p>
    <w:p w:rsidR="00000000" w:rsidDel="00000000" w:rsidP="00000000" w:rsidRDefault="00000000" w:rsidRPr="00000000" w14:paraId="00000055">
      <w:pPr>
        <w:spacing w:after="120" w:lineRule="auto"/>
        <w:ind w:left="284" w:hanging="284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•  jaké  jazykové a tvůrčí prostředky autor použil a jak slouží smyslu a záměru textu i čtenářovu porozumění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Rule="auto"/>
        <w:ind w:left="284" w:hanging="284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76200</wp:posOffset>
                </wp:positionV>
                <wp:extent cx="6127115" cy="237934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7205" y="2595090"/>
                          <a:ext cx="611759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Krásná literatura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vzrušuje naše city tím, o čem mluví i jak nám to říká, a tím nás přivádí k novému postoji nebo k novému poznání a chápání sebe či světa kolem nás, anebo oživuje naši schopnost prožívat či soucítit. Jako učitelé chceme rozpoznat přesněji než jen jako dojem, na které cenné hodnoty text míří a co v něm je přínosného pro mysl, srdce a život našich žáků.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Informativní texty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nám zprostředkují údaje, pomáhají nám tvořit si poznatky a uspořádat si i pochopit souvislosti. Učitelům nabízejí nejen svůj věcný obsah, ale také příležitosti k tomu, aby žáci odhalili a osvojili si pečlivou pravidelnost potřebnou pro spolehlivé dorozumívání.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283.9999961853027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Některé inspirační otázky se více hodí pro krásnou literaturu (např.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poselství textu – proč je cenné, že tento text vůbec existuje?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), některé se nabízejí pro informativní texty (např.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hlavní pojmy – o které jevy a souvislosti v textu jde?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). Mnohé texty však v sobě ponesou možnosti hledat a využívat obojí.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76200</wp:posOffset>
                </wp:positionV>
                <wp:extent cx="6127115" cy="2379345"/>
                <wp:effectExtent b="0" l="0" r="0" t="0"/>
                <wp:wrapNone/>
                <wp:docPr id="6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115" cy="2379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17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17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Poznámky?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Didaktický potenciál pomáhá učitelům porozumět lépe textu, zjistit, zda je text dostatečně podnětný pro jejich žáky, a nacházet příležitosti pro rozvoj čtenářství. Kategorie či složky didaktického potenciálu jsou pouze umělým konstruktem a slouží nám k zvýraznění určitého pohledu na text. Nelze je od sebe ostře oddělit, vzájemně se prolínají.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Čtyři složky didaktického potenciálu by však bylo dobré si v textu ujasnit pokaždé aspoň něčím: Žák má budovat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smysl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textu, má ohledat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vztah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mezi sebou samým a textem, má zapojovat svůj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rozhled po konvencích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uměleckých i informativních textů, a má aktivně vnímat a ve vztahu k celku textu chápat některé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jednotlivé prostředky jazykové i umělecké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Nemůže také existovat jediná závazná forma zpracování didaktického potenciálu, vždy se bude odvíjet od potřeb a vzdělávacích cílů učitele a jeho žáků. Nejjednodušší didaktický potenciál může proběhnout v rychlosti v naší hlavě při výběru textu, může být napsán formou poznámek či otázek, v dokonalejší podobě může sloužit dalším kolegům jako užitečná pomoc při přípravě hodiny či opora pro přemýšlení nad konkrétním textem.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Učitel nemusí nutně najít odpověď na všechny inspirační otázky. Úkolem didaktického potenciálu není ani to, aby učitel v hodině „probral“ se žáky jednu po druhé ony čtyři roviny textu. Není to žádné další školní třídění na žánry nebo na období. Je to jenom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pomůcka pro učitelovu přípravu výuky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Více viz: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HAUSENBLAS, Ondřej. Didaktický potenciál textu: Proč hledat texty ke čtení v předmětech. In: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Metodika rozvoje čtenářství a čtenářské gramotnosti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Nový Jičín: KVIC, 2012, s. 81-90. ISBN 978-80-905036-8-7.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je to „didaktický potenciál textu“, O. Hausenblas, Š. Klumparová, M. Šlapal pro LŠ PŠÚ a Spirála, 2014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Didaktický potenciál pohádky O Budulínkovi – pro PŠÚ modelově zpracoval O. Hausenblas, 2014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6838" w:w="11906" w:orient="portrait"/>
      <w:pgMar w:bottom="1843" w:top="1701" w:left="1134" w:right="1134" w:header="284" w:footer="87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  <w:font w:name="Verdan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1354638</wp:posOffset>
          </wp:positionH>
          <wp:positionV relativeFrom="paragraph">
            <wp:posOffset>-621029</wp:posOffset>
          </wp:positionV>
          <wp:extent cx="3502537" cy="777182"/>
          <wp:effectExtent b="0" l="0" r="0" t="0"/>
          <wp:wrapSquare wrapText="bothSides" distB="0" distT="0" distL="114300" distR="114300"/>
          <wp:docPr id="7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D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ústavu pro vzdělávání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Původně: Co je to „didaktický potenciál textu“, O. Hausenblas, Š. Klumparová, M. Šlapal pro LŠ PŠÚ a Spirála, 2014</w:t>
    </w:r>
  </w:p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Zkrácená verze říjen 2014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Původně: Co je to „didaktický potenciál textu“, O. Hausenblas, Š. Klumparová, M. Šlapal pro LŠ PŠÚ a Spirála, 2014</w:t>
    </w:r>
  </w:p>
  <w:p w:rsidR="00000000" w:rsidDel="00000000" w:rsidP="00000000" w:rsidRDefault="00000000" w:rsidRPr="00000000" w14:paraId="000000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Zkrácená verze říjen 2014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Původně: Co je to „didaktický potenciál textu“, O. Hausenblas, Š. Klumparová, M. Šlapal pro LŠ PŠÚ a Spirála, 2014</w:t>
    </w:r>
  </w:p>
  <w:p w:rsidR="00000000" w:rsidDel="00000000" w:rsidP="00000000" w:rsidRDefault="00000000" w:rsidRPr="00000000" w14:paraId="0000009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Zkrácená verze říjen 2014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left" w:pos="21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523473" cy="583200"/>
          <wp:effectExtent b="0" l="0" r="0" t="0"/>
          <wp:wrapNone/>
          <wp:docPr id="7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3759200</wp:posOffset>
          </wp:positionH>
          <wp:positionV relativeFrom="paragraph">
            <wp:posOffset>62935</wp:posOffset>
          </wp:positionV>
          <wp:extent cx="2402744" cy="309880"/>
          <wp:effectExtent b="0" l="0" r="0" t="0"/>
          <wp:wrapNone/>
          <wp:docPr id="7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3994150</wp:posOffset>
          </wp:positionH>
          <wp:positionV relativeFrom="paragraph">
            <wp:posOffset>235584</wp:posOffset>
          </wp:positionV>
          <wp:extent cx="1779905" cy="187960"/>
          <wp:effectExtent b="0" l="0" r="0" t="0"/>
          <wp:wrapNone/>
          <wp:docPr id="6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left" w:pos="21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left" w:pos="21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widowControl w:val="0"/>
      <w:suppressAutoHyphens w:val="1"/>
    </w:pPr>
    <w:rPr>
      <w:rFonts w:cs="Lohit Hindi" w:eastAsia="DejaVu Sans"/>
      <w:kern w:val="1"/>
      <w:sz w:val="24"/>
      <w:szCs w:val="24"/>
      <w:lang w:bidi="hi-IN" w:eastAsia="zh-CN"/>
    </w:rPr>
  </w:style>
  <w:style w:type="paragraph" w:styleId="Nadpis1">
    <w:name w:val="heading 1"/>
    <w:basedOn w:val="Nadpis"/>
    <w:next w:val="Zkladntext"/>
    <w:qFormat w:val="1"/>
    <w:pPr>
      <w:numPr>
        <w:numId w:val="1"/>
      </w:numPr>
      <w:outlineLvl w:val="0"/>
    </w:pPr>
    <w:rPr>
      <w:rFonts w:ascii="Times New Roman" w:hAnsi="Times New Roman"/>
      <w:b w:val="1"/>
      <w:bCs w:val="1"/>
      <w:sz w:val="48"/>
      <w:szCs w:val="4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OpenSymbol" w:hAnsi="Symbol"/>
    </w:rPr>
  </w:style>
  <w:style w:type="character" w:styleId="WW8Num2z1" w:customStyle="1">
    <w:name w:val="WW8Num2z1"/>
    <w:rPr>
      <w:rFonts w:ascii="OpenSymbol" w:cs="OpenSymbol" w:hAnsi="OpenSymbol"/>
    </w:rPr>
  </w:style>
  <w:style w:type="character" w:styleId="WW8Num3z0" w:customStyle="1">
    <w:name w:val="WW8Num3z0"/>
    <w:rPr>
      <w:rFonts w:ascii="Times New Roman" w:cs="Times New Roman" w:eastAsia="DejaVu Sans" w:hAnsi="Times New Roman"/>
    </w:rPr>
  </w:style>
  <w:style w:type="character" w:styleId="WW8Num3z1" w:customStyle="1">
    <w:name w:val="WW8Num3z1"/>
    <w:rPr>
      <w:rFonts w:ascii="Courier New" w:cs="Courier New" w:hAnsi="Courier New"/>
    </w:rPr>
  </w:style>
  <w:style w:type="character" w:styleId="WW8Num3z2" w:customStyle="1">
    <w:name w:val="WW8Num3z2"/>
    <w:rPr>
      <w:rFonts w:ascii="Wingdings" w:cs="Wingdings" w:hAnsi="Wingdings"/>
    </w:rPr>
  </w:style>
  <w:style w:type="character" w:styleId="WW8Num3z3" w:customStyle="1">
    <w:name w:val="WW8Num3z3"/>
    <w:rPr>
      <w:rFonts w:ascii="Symbol" w:cs="Symbol" w:hAnsi="Symbol"/>
    </w:rPr>
  </w:style>
  <w:style w:type="character" w:styleId="WW8Num4z0" w:customStyle="1">
    <w:name w:val="WW8Num4z0"/>
    <w:rPr>
      <w:rFonts w:ascii="Symbol" w:cs="Symbol" w:hAnsi="Symbol"/>
    </w:rPr>
  </w:style>
  <w:style w:type="character" w:styleId="WW8Num4z1" w:customStyle="1">
    <w:name w:val="WW8Num4z1"/>
    <w:rPr>
      <w:rFonts w:ascii="Courier New" w:cs="Courier New" w:hAnsi="Courier New"/>
    </w:rPr>
  </w:style>
  <w:style w:type="character" w:styleId="WW8Num4z2" w:customStyle="1">
    <w:name w:val="WW8Num4z2"/>
    <w:rPr>
      <w:rFonts w:ascii="Wingdings" w:cs="Wingdings" w:hAnsi="Wingdings"/>
    </w:rPr>
  </w:style>
  <w:style w:type="character" w:styleId="Standardnpsmoodstavce1" w:customStyle="1">
    <w:name w:val="Standardní písmo odstavce1"/>
  </w:style>
  <w:style w:type="character" w:styleId="Zvraznn" w:customStyle="1">
    <w:name w:val="Zvýraznění"/>
    <w:qFormat w:val="1"/>
    <w:rPr>
      <w:i w:val="1"/>
      <w:iCs w:val="1"/>
    </w:rPr>
  </w:style>
  <w:style w:type="character" w:styleId="Hypertextovodkaz">
    <w:name w:val="Hyperlink"/>
    <w:rPr>
      <w:color w:val="000080"/>
      <w:u w:val="single"/>
    </w:rPr>
  </w:style>
  <w:style w:type="character" w:styleId="Znakypropoznmkupodarou" w:customStyle="1">
    <w:name w:val="Znaky pro poznámku pod čarou"/>
  </w:style>
  <w:style w:type="character" w:styleId="Znakapoznpodarou1" w:customStyle="1">
    <w:name w:val="Značka pozn. pod čarou1"/>
    <w:rPr>
      <w:vertAlign w:val="superscript"/>
    </w:rPr>
  </w:style>
  <w:style w:type="character" w:styleId="Znakyprovysvtlivky" w:customStyle="1">
    <w:name w:val="Znaky pro vysvětlivky"/>
    <w:rPr>
      <w:vertAlign w:val="superscript"/>
    </w:rPr>
  </w:style>
  <w:style w:type="character" w:styleId="WW-Znakyprovysvtlivky" w:customStyle="1">
    <w:name w:val="WW-Znaky pro vysvětlivky"/>
  </w:style>
  <w:style w:type="character" w:styleId="Odkaznavysvtlivky1" w:customStyle="1">
    <w:name w:val="Odkaz na vysvětlivky1"/>
    <w:rPr>
      <w:vertAlign w:val="superscript"/>
    </w:rPr>
  </w:style>
  <w:style w:type="character" w:styleId="ZkladntextChar" w:customStyle="1">
    <w:name w:val="Základní text Char"/>
    <w:rPr>
      <w:rFonts w:cs="Lohit Hindi" w:eastAsia="DejaVu Sans"/>
      <w:kern w:val="1"/>
      <w:sz w:val="24"/>
      <w:szCs w:val="24"/>
      <w:lang w:bidi="hi-IN" w:eastAsia="zh-CN"/>
    </w:rPr>
  </w:style>
  <w:style w:type="character" w:styleId="Odkaznakoment1" w:customStyle="1">
    <w:name w:val="Odkaz na komentář1"/>
    <w:rPr>
      <w:sz w:val="16"/>
      <w:szCs w:val="16"/>
    </w:rPr>
  </w:style>
  <w:style w:type="character" w:styleId="TextkomenteChar" w:customStyle="1">
    <w:name w:val="Text komentáře Char"/>
    <w:rPr>
      <w:rFonts w:cs="Mangal" w:eastAsia="DejaVu Sans"/>
      <w:kern w:val="1"/>
      <w:szCs w:val="18"/>
      <w:lang w:bidi="hi-IN" w:eastAsia="zh-CN"/>
    </w:rPr>
  </w:style>
  <w:style w:type="character" w:styleId="PedmtkomenteChar" w:customStyle="1">
    <w:name w:val="Předmět komentáře Char"/>
    <w:rPr>
      <w:rFonts w:cs="Mangal" w:eastAsia="DejaVu Sans"/>
      <w:b w:val="1"/>
      <w:bCs w:val="1"/>
      <w:kern w:val="1"/>
      <w:szCs w:val="18"/>
      <w:lang w:bidi="hi-IN" w:eastAsia="zh-CN"/>
    </w:rPr>
  </w:style>
  <w:style w:type="character" w:styleId="TextbublinyChar" w:customStyle="1">
    <w:name w:val="Text bubliny Char"/>
    <w:rPr>
      <w:rFonts w:ascii="Tahoma" w:cs="Mangal" w:eastAsia="DejaVu Sans" w:hAnsi="Tahoma"/>
      <w:kern w:val="1"/>
      <w:sz w:val="16"/>
      <w:szCs w:val="14"/>
      <w:lang w:bidi="hi-IN" w:eastAsia="zh-CN"/>
    </w:rPr>
  </w:style>
  <w:style w:type="character" w:styleId="ZhlavChar" w:customStyle="1">
    <w:name w:val="Záhlaví Char"/>
    <w:rPr>
      <w:rFonts w:cs="Lohit Hindi" w:eastAsia="DejaVu Sans"/>
      <w:kern w:val="1"/>
      <w:sz w:val="24"/>
      <w:szCs w:val="24"/>
      <w:lang w:bidi="hi-IN" w:eastAsia="zh-CN"/>
    </w:rPr>
  </w:style>
  <w:style w:type="character" w:styleId="Symbolyproslovn" w:customStyle="1">
    <w:name w:val="Symboly pro číslování"/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Titulek1" w:customStyle="1">
    <w:name w:val="Titulek1"/>
    <w:basedOn w:val="Normln"/>
    <w:pPr>
      <w:suppressLineNumbers w:val="1"/>
      <w:spacing w:after="120" w:before="120"/>
    </w:pPr>
    <w:rPr>
      <w:i w:val="1"/>
      <w:iCs w:val="1"/>
    </w:rPr>
  </w:style>
  <w:style w:type="paragraph" w:styleId="Textpoznpodarou">
    <w:name w:val="footnote text"/>
    <w:basedOn w:val="Normln"/>
    <w:pPr>
      <w:suppressLineNumbers w:val="1"/>
      <w:ind w:left="339" w:hanging="339"/>
    </w:pPr>
    <w:rPr>
      <w:sz w:val="20"/>
      <w:szCs w:val="20"/>
    </w:rPr>
  </w:style>
  <w:style w:type="paragraph" w:styleId="Zpat">
    <w:name w:val="footer"/>
    <w:basedOn w:val="Normln"/>
    <w:pPr>
      <w:suppressLineNumbers w:val="1"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 w:val="1"/>
      <w:tabs>
        <w:tab w:val="center" w:pos="4819"/>
        <w:tab w:val="right" w:pos="9638"/>
      </w:tabs>
    </w:pPr>
  </w:style>
  <w:style w:type="paragraph" w:styleId="Textkomente1" w:customStyle="1">
    <w:name w:val="Text komentáře1"/>
    <w:basedOn w:val="Normln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Pr>
      <w:b w:val="1"/>
      <w:bCs w:val="1"/>
    </w:rPr>
  </w:style>
  <w:style w:type="paragraph" w:styleId="Textbubliny">
    <w:name w:val="Balloon Text"/>
    <w:basedOn w:val="Normln"/>
    <w:rPr>
      <w:rFonts w:ascii="Tahoma" w:cs="Mangal" w:hAnsi="Tahoma"/>
      <w:sz w:val="16"/>
      <w:szCs w:val="14"/>
    </w:rPr>
  </w:style>
  <w:style w:type="paragraph" w:styleId="Obsahrmce" w:customStyle="1">
    <w:name w:val="Obsah rámce"/>
    <w:basedOn w:val="Normln"/>
  </w:style>
  <w:style w:type="table" w:styleId="Mkatabulky">
    <w:name w:val="Table Grid"/>
    <w:basedOn w:val="Normlntabulka"/>
    <w:uiPriority w:val="59"/>
    <w:rsid w:val="009375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0n6z1KRkmFRWJx4r8xzUHahpfg==">AMUW2mWOx/GooOYsia1UaCjsuiWRs687JBeYebkuo5cwqDflRLPZMTIiKMQC5PPBRihYYplhmrdHk5TkABcoJHAhZkI9KZ0xHZIAlCWu4f04/8y35o9cjfJznk3Sl9JB8Ic/NJc4N8xaLOCCd0Tjj+CEmtHrtxjX6Q==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2019-07-30T13:09:00Z</dcterms:created>
  <dc:creator>Miloš</dc:creator>
</cp:coreProperties>
</file>