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121920</wp:posOffset>
                </wp:positionV>
                <wp:extent cx="4696460" cy="1095375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02533" y="3237075"/>
                          <a:ext cx="468693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Cesta k výjimečnosti. Leadership pro vedoucí pracovníky škol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CZ.02.3.68/0.0/0.0/16_032/0008258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121920</wp:posOffset>
                </wp:positionV>
                <wp:extent cx="4696460" cy="1095375"/>
                <wp:effectExtent b="0" l="0" r="0" t="0"/>
                <wp:wrapSquare wrapText="bothSides" distB="45720" distT="45720" distL="114300" distR="1143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6460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460.0" w:type="dxa"/>
        <w:jc w:val="left"/>
        <w:tblInd w:w="1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60"/>
        <w:tblGridChange w:id="0">
          <w:tblGrid>
            <w:gridCol w:w="5460"/>
          </w:tblGrid>
        </w:tblGridChange>
      </w:tblGrid>
      <w:tr>
        <w:trPr>
          <w:trHeight w:val="1013.0078124999999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0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 Zavádění formativního hodnocení ve škole</w:t>
            </w:r>
          </w:p>
          <w:p w:rsidR="00000000" w:rsidDel="00000000" w:rsidP="00000000" w:rsidRDefault="00000000" w:rsidRPr="00000000" w14:paraId="00000006">
            <w:pPr>
              <w:spacing w:after="12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Distanční část – Portfolia dětí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586105</wp:posOffset>
            </wp:positionH>
            <wp:positionV relativeFrom="paragraph">
              <wp:posOffset>0</wp:posOffset>
            </wp:positionV>
            <wp:extent cx="4686935" cy="5372735"/>
            <wp:effectExtent b="0" l="0" r="0" t="0"/>
            <wp:wrapSquare wrapText="bothSides" distB="0" distT="0" distL="114300" distR="11430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6935" cy="53727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2443480</wp:posOffset>
            </wp:positionH>
            <wp:positionV relativeFrom="paragraph">
              <wp:posOffset>0</wp:posOffset>
            </wp:positionV>
            <wp:extent cx="933450" cy="40957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0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footerReference r:id="rId11" w:type="defaul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Distanční část – Portfolia dětí</w:t>
      </w:r>
    </w:p>
    <w:p w:rsidR="00000000" w:rsidDel="00000000" w:rsidP="00000000" w:rsidRDefault="00000000" w:rsidRPr="00000000" w14:paraId="0000001D">
      <w:pPr>
        <w:pStyle w:val="Heading2"/>
        <w:spacing w:after="120" w:before="0" w:lineRule="auto"/>
        <w:ind w:left="576" w:hanging="576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Práce s portfoliem dítěte – portfolia zpřístupněná dětem</w:t>
      </w:r>
    </w:p>
    <w:p w:rsidR="00000000" w:rsidDel="00000000" w:rsidP="00000000" w:rsidRDefault="00000000" w:rsidRPr="00000000" w14:paraId="0000001E">
      <w:pPr>
        <w:spacing w:after="12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Důležitý není jen obsah portfolia, ale zejména práce s ním – hodnoticí, reflektivní proces – sbírání, třídění, průběžné reflektování, sebehodnocení, sdílení, prezentování, obhajování materiálů. Portfolio by mělo být prostředkem k učení dětí. Ale plnit také diagnostický účel – tj. pomoci učitelce MŠ rozvíjet každé dítě individuálně dle jeho potřeb.</w:t>
      </w:r>
    </w:p>
    <w:p w:rsidR="00000000" w:rsidDel="00000000" w:rsidP="00000000" w:rsidRDefault="00000000" w:rsidRPr="00000000" w14:paraId="0000001F">
      <w:pPr>
        <w:spacing w:after="120" w:line="360" w:lineRule="auto"/>
        <w:ind w:firstLine="57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Aby portfolio plnilo jeho formativní funkci, mělo by být přístupné dětem. V takovém případě by titulní strana i hřbet měly být „podepsány“ dítětem nebo jeho značkou. Od počátku založení by mělo být pro dítě hodnotným, významným materiálem (Kratochvílová, 2014).</w:t>
      </w:r>
    </w:p>
    <w:p w:rsidR="00000000" w:rsidDel="00000000" w:rsidP="00000000" w:rsidRDefault="00000000" w:rsidRPr="00000000" w14:paraId="00000020">
      <w:pPr>
        <w:spacing w:after="120" w:line="360" w:lineRule="auto"/>
        <w:ind w:firstLine="57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Při práci s portfoliem dětmi doporučuje Syslová, Kratochvílová a Fikarová (2018):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Řízenou činnost, kdy si, zpravidla v pátek, pedagogové s dětmi před pobytem venku sednou do komunitního kruhu nad pracemi, které vznikly v průběhu týdne, a povídají si s dětmi o tom, co se jim povedlo, jak by svoji práci ohodnotily. Pak si děti mohou své produkty uložit samy. Prostřednictvím portfolií se učitelky společně s dětmi mohou vracet k produktům a reflektovat, co vše se už naučily.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Individuální rozhovory nad portfoliem dítěte, které jsou však časově i organizačně náročné.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Spontánní činnost dětí s portfoliem, kdy si děti často samy portfolia „prohlížejí“ nejčastěji ráno po příchodu do MŠ nebo po obědě, kdy nespí a zabývají se klidovými činnostmi – mohou vzniknout produkty, které se samy děti rozhodnou do portfolia zařadit. Spontánně tak může probíhat i vzájemné hodnocení produktů.</w:t>
      </w:r>
    </w:p>
    <w:p w:rsidR="00000000" w:rsidDel="00000000" w:rsidP="00000000" w:rsidRDefault="00000000" w:rsidRPr="00000000" w14:paraId="00000024">
      <w:pPr>
        <w:spacing w:after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 zájmu o portfolio dítěte je třeba vést postupně také rodiče (viz následující kapitola). </w:t>
      </w:r>
    </w:p>
    <w:p w:rsidR="00000000" w:rsidDel="00000000" w:rsidP="00000000" w:rsidRDefault="00000000" w:rsidRPr="00000000" w14:paraId="00000026">
      <w:pPr>
        <w:spacing w:after="120" w:line="360" w:lineRule="auto"/>
        <w:ind w:firstLine="709"/>
        <w:rPr>
          <w:rFonts w:ascii="Times New Roman" w:cs="Times New Roman" w:eastAsia="Times New Roman" w:hAnsi="Times New Roman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spacing w:after="120" w:before="0" w:lineRule="auto"/>
        <w:ind w:left="576" w:hanging="576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3.3 Komunikace s rodičem nad produkty dítěte</w:t>
      </w:r>
    </w:p>
    <w:p w:rsidR="00000000" w:rsidDel="00000000" w:rsidP="00000000" w:rsidRDefault="00000000" w:rsidRPr="00000000" w14:paraId="00000028">
      <w:pPr>
        <w:spacing w:after="12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Velmi účinné jsou rozhovory učitele s rodičem či rodiči, které napomáhají k individualizaci učení a monitorování pokroku dětí. Učitel a rodiče jsou partnery dětí a konzultace pomáhají monitorovat pokrok dítěte, zachytit případné obtíže a najít cestu k jejich nápravě. V českém prostředí se s konzultacemi v této podobě začalo pracovat v rámci programu Začít spolu (Krejčová a Kargerová, 2003). </w:t>
      </w:r>
    </w:p>
    <w:p w:rsidR="00000000" w:rsidDel="00000000" w:rsidP="00000000" w:rsidRDefault="00000000" w:rsidRPr="00000000" w14:paraId="00000029">
      <w:pPr>
        <w:spacing w:after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Pokud ke konzultacím přizveme i dítě, je vhodné jako podklad využít portfolio dítěte. Komunikace by se měla řídit několika pravidly: jako první dostává slovo dítě – ukazuje, co se mu podařilo, co se naučilo. Pokračuje tím, co by se dále mělo naučit, v čem je potřeba se zlepšit a případně podává návrhy, jak postupovat. Poté je slovo předáno rodiči či rodičům, kteří doplní svými názory a připomínkami své dítě. Až jako poslední dostává slovo učitel, který přistupuje k hodnocení dítěte. </w:t>
      </w:r>
    </w:p>
    <w:p w:rsidR="00000000" w:rsidDel="00000000" w:rsidP="00000000" w:rsidRDefault="00000000" w:rsidRPr="00000000" w14:paraId="0000002A">
      <w:pPr>
        <w:spacing w:after="120" w:line="360" w:lineRule="auto"/>
        <w:ind w:firstLine="57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Sami rodiče se dle Kratochvílové (2014) mohou: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spolupodílet na výběru produktů do portfolia;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obohacovat produkty o výtvory z domácího prostředí;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zapojovat se do komunikace nad výsledky a pokroky dětí (při oficiálních konzultacích i bezděčně, kdy dítě samo nějaký produkt prezentuje);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zapojit cíleně, například do písemné reflexe práce dítěte a jeho ocenění.</w:t>
      </w:r>
    </w:p>
    <w:p w:rsidR="00000000" w:rsidDel="00000000" w:rsidP="00000000" w:rsidRDefault="00000000" w:rsidRPr="00000000" w14:paraId="0000002F">
      <w:pPr>
        <w:spacing w:after="120" w:line="36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Syslová, Kratochvílová a Fikarová (2018, s. 57–58) uvádí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procesuální stránku diagnostického portfolia, která zahrnuje dítě, učitelku i rodiče:</w:t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3021"/>
        <w:gridCol w:w="3021"/>
        <w:tblGridChange w:id="0">
          <w:tblGrid>
            <w:gridCol w:w="3020"/>
            <w:gridCol w:w="3021"/>
            <w:gridCol w:w="3021"/>
          </w:tblGrid>
        </w:tblGridChange>
      </w:tblGrid>
      <w:tr>
        <w:tc>
          <w:tcPr/>
          <w:p w:rsidR="00000000" w:rsidDel="00000000" w:rsidP="00000000" w:rsidRDefault="00000000" w:rsidRPr="00000000" w14:paraId="00000031">
            <w:pPr>
              <w:spacing w:after="12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Dítě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Učitel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Rodič</w:t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spacing w:after="12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Tvorba artefaktů (řízená i spontánní, školní, příp. i domácí)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Plánování obsahu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Participace na obsahu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spacing w:after="12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Zakládání artefaktů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Zakládání artefaktů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Seznamování se s obsahem a výsledky dítěte (individuálně, spontánně, řízeně)</w:t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spacing w:after="12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Komparace obsahu s vrstevníky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Spolupráce s dítětem při tvorbě obsahu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Komparace artefaktů, jejich hodnocení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spacing w:after="12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Komparace artefaktů, jejich sebehodnocení a vrstevnické hodnocení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Komparace artefaktů, jejich hodnocení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Participace na prezentaci dítěte</w:t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spacing w:after="12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Znovuvybavení zážitků (individuálně, s druhými)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2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Opětovné prožívání zážitků spojených s tvorbou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Prezentování významným druhým osobám, širší veřejnosti</w:t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spacing w:after="12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Prezentování významným druhým osobám (rodina, učitel)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Konzultace výsledků dítěte s dítětem, rodiči, kolegyněmi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12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spacing w:after="12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Participace na „úklidu“ portfolia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12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Pravidelný „úklid“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2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spacing w:after="120" w:before="0" w:lineRule="auto"/>
        <w:ind w:left="576" w:hanging="576"/>
        <w:rPr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3.4 Inspirace k portfoliím z českých mateřských škol </w:t>
      </w:r>
    </w:p>
    <w:p w:rsidR="00000000" w:rsidDel="00000000" w:rsidP="00000000" w:rsidRDefault="00000000" w:rsidRPr="00000000" w14:paraId="0000004B">
      <w:pPr>
        <w:spacing w:after="120" w:line="360" w:lineRule="auto"/>
        <w:ind w:firstLine="57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 tématu typů, vedení a obsahu portfolio dítěte vznikla již celá řada inspirativních materiálů, na které si zde dovolíme odkázat, protože jsou velmi inspirativní – kromě teorie obsahují i celou řadu inspirativních ukázek, které je možné využít ve Vaší praxi: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45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Roušarová (2013),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45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Hegrová (2013/2014)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45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Kratochvílová (2014),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45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Syslová, Kratochvílová a Fikarová (2018),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pracovní materiál MŠ Maršovice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1">
      <w:pPr>
        <w:spacing w:after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spacing w:after="120" w:before="0" w:lineRule="auto"/>
        <w:ind w:left="576" w:hanging="576"/>
        <w:rPr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sz w:val="24"/>
          <w:szCs w:val="24"/>
          <w:rtl w:val="0"/>
        </w:rPr>
        <w:t xml:space="preserve">3.5 Proč založit a používat portfolio dítěte v mateřské škole?</w:t>
      </w:r>
    </w:p>
    <w:p w:rsidR="00000000" w:rsidDel="00000000" w:rsidP="00000000" w:rsidRDefault="00000000" w:rsidRPr="00000000" w14:paraId="00000053">
      <w:pPr>
        <w:spacing w:after="12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Bylo specifikováno několik důvodů, proč portfolia dětí, nejen v mateřské škole, pro formativní účely zakládat a využívat (např. Evers &amp; Walberg, 2004; Hansen Čechová, 2009; Košťálová, Miková, &amp; Stang, 2008):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Učitelům pomáhá sledovat učení a vývoj dítěte, diagnostikovat jeho silné a slabé stránky.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 práci s portfoliem může být každé dítě v něčem úspěšné (posiluje se tak sebevědomí dítěte a vede ke zvýšení jeho motivace), portfolio stimuluje individuální přístup k dětem, akcentuje důraz na osobní rozvoj každého dítěte.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Poskytuje příležitosti pro spolupráci dětí, učitelů a rodičů (například jako podklad pro konzultaci mezi učitelem a rodičem).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Analýza prací v portfoliu vede dítě k uvědomění si vlastní kvality, může mu pomoci porozumět smyslu učení a vzájemnému vztahu mezi dovednostmi, které si osvojilo – vede tedy ke spolupodílení se na vlastním učení.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dobrým podkladem sebehodnocení dítěte – umožňujeme mu hodnotit samo sebe, svůj pokrok.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Rozvíjí organizační a rozhodovací dovednosti dětí (výběrem a obhajobou svých prací uložených v portfoliu).</w:t>
      </w:r>
    </w:p>
    <w:p w:rsidR="00000000" w:rsidDel="00000000" w:rsidP="00000000" w:rsidRDefault="00000000" w:rsidRPr="00000000" w14:paraId="0000005A">
      <w:pPr>
        <w:spacing w:after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Úkol k portfoliím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Prostudujte si doporučenou literaturu k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tématu portfolií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(Roušarová, 2013 – inspirativní jsou zejména přílohy, které dokumentují obsah portfolia dítěte; Kratochvílová, 2014 a Syslová, Kratochvílová a Fikarová, 2018) a  sestavte si plán tvorby portfolia dětí: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jakému účelu bude sloužit;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komu bude určeno (dítěti, Vám, rodičům, dalším osobám – v komunikaci s odborníky či učiteli ZŠ při zápisu a následném vstupu dítěte do prvního ročníku ZŠ);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bude obsahovat;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 budete materiály označovat;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jakým způsobem budete s portfoliem pracovat.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2" w:type="default"/>
      <w:type w:val="nextPage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tabs>
        <w:tab w:val="center" w:pos="4536"/>
        <w:tab w:val="right" w:pos="9072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4949421" cy="1098342"/>
          <wp:effectExtent b="0" l="0" r="0" t="0"/>
          <wp:docPr descr="https://opvvv.msmt.cz/media/msmt/uploads/OP_VVV/Pravidla_pro_publicitu/logolinky/Logolink_OP_VVV_hor_barva_cz.jpg" id="3" name="image2.jpg"/>
          <a:graphic>
            <a:graphicData uri="http://schemas.openxmlformats.org/drawingml/2006/picture">
              <pic:pic>
                <pic:nvPicPr>
                  <pic:cNvPr descr="https://opvvv.msmt.cz/media/msmt/uploads/OP_VVV/Pravidla_pro_publicitu/logolinky/Logolink_OP_VVV_hor_barva_cz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49421" cy="10983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3">
      <w:pPr>
        <w:spacing w:after="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Dostupné z: </w:t>
      </w:r>
      <w:hyperlink r:id="rId1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http://www.msmarsovice.cz/assets/File.ashx?id_org=400137&amp;id_dokumenty=1084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360" w:lineRule="auto"/>
      <w:ind w:left="432" w:hanging="432"/>
      <w:jc w:val="both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360" w:lineRule="auto"/>
      <w:ind w:left="576" w:hanging="576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360" w:lineRule="auto"/>
      <w:ind w:left="1288" w:hanging="720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="360" w:lineRule="auto"/>
      <w:ind w:left="864" w:hanging="864"/>
      <w:jc w:val="both"/>
    </w:pPr>
    <w:rPr>
      <w:rFonts w:ascii="Calibri" w:cs="Calibri" w:eastAsia="Calibri" w:hAnsi="Calibri"/>
      <w:b w:val="1"/>
      <w:i w:val="1"/>
      <w:color w:val="5b9bd5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360" w:lineRule="auto"/>
      <w:ind w:left="1008" w:hanging="1008"/>
      <w:jc w:val="both"/>
    </w:pPr>
    <w:rPr>
      <w:rFonts w:ascii="Calibri" w:cs="Calibri" w:eastAsia="Calibri" w:hAnsi="Calibri"/>
      <w:color w:val="1e4d78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360" w:lineRule="auto"/>
      <w:ind w:left="1152" w:hanging="1152"/>
      <w:jc w:val="both"/>
    </w:pPr>
    <w:rPr>
      <w:rFonts w:ascii="Calibri" w:cs="Calibri" w:eastAsia="Calibri" w:hAnsi="Calibri"/>
      <w:i w:val="1"/>
      <w:color w:val="1e4d78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link w:val="Nadpis1Char"/>
    <w:uiPriority w:val="9"/>
    <w:qFormat w:val="1"/>
    <w:rsid w:val="00EB2A28"/>
    <w:pPr>
      <w:keepNext w:val="1"/>
      <w:keepLines w:val="1"/>
      <w:numPr>
        <w:numId w:val="1"/>
      </w:numPr>
      <w:spacing w:after="0" w:before="480" w:line="360" w:lineRule="auto"/>
      <w:jc w:val="both"/>
      <w:outlineLvl w:val="0"/>
    </w:pPr>
    <w:rPr>
      <w:rFonts w:ascii="Times New Roman" w:hAnsi="Times New Roman" w:cstheme="majorBidi" w:eastAsiaTheme="majorEastAsia"/>
      <w:b w:val="1"/>
      <w:bCs w:val="1"/>
      <w:sz w:val="32"/>
      <w:szCs w:val="28"/>
    </w:rPr>
  </w:style>
  <w:style w:type="paragraph" w:styleId="Nadpis2">
    <w:name w:val="heading 2"/>
    <w:aliases w:val="Nadpis 1.1"/>
    <w:basedOn w:val="Normln"/>
    <w:next w:val="Normln"/>
    <w:link w:val="Nadpis2Char"/>
    <w:uiPriority w:val="9"/>
    <w:unhideWhenUsed w:val="1"/>
    <w:qFormat w:val="1"/>
    <w:rsid w:val="00EB2A28"/>
    <w:pPr>
      <w:keepNext w:val="1"/>
      <w:keepLines w:val="1"/>
      <w:numPr>
        <w:ilvl w:val="1"/>
        <w:numId w:val="1"/>
      </w:numPr>
      <w:spacing w:after="0" w:before="200" w:line="360" w:lineRule="auto"/>
      <w:jc w:val="both"/>
      <w:outlineLvl w:val="1"/>
    </w:pPr>
    <w:rPr>
      <w:rFonts w:ascii="Times New Roman" w:hAnsi="Times New Roman" w:cstheme="majorBidi" w:eastAsiaTheme="majorEastAsia"/>
      <w:b w:val="1"/>
      <w:bCs w:val="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 w:val="1"/>
    <w:qFormat w:val="1"/>
    <w:rsid w:val="00EB2A28"/>
    <w:pPr>
      <w:keepNext w:val="1"/>
      <w:keepLines w:val="1"/>
      <w:numPr>
        <w:ilvl w:val="2"/>
        <w:numId w:val="1"/>
      </w:numPr>
      <w:spacing w:after="0" w:before="200" w:line="360" w:lineRule="auto"/>
      <w:jc w:val="both"/>
      <w:outlineLvl w:val="2"/>
    </w:pPr>
    <w:rPr>
      <w:rFonts w:ascii="Times New Roman" w:hAnsi="Times New Roman" w:cstheme="majorBidi" w:eastAsiaTheme="majorEastAsia"/>
      <w:b w:val="1"/>
      <w:bCs w:val="1"/>
      <w:sz w:val="28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EB2A28"/>
    <w:pPr>
      <w:keepNext w:val="1"/>
      <w:keepLines w:val="1"/>
      <w:numPr>
        <w:ilvl w:val="3"/>
        <w:numId w:val="1"/>
      </w:numPr>
      <w:spacing w:after="0" w:before="200" w:line="360" w:lineRule="auto"/>
      <w:jc w:val="both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5b9bd5" w:themeColor="accent1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EB2A28"/>
    <w:pPr>
      <w:keepNext w:val="1"/>
      <w:keepLines w:val="1"/>
      <w:numPr>
        <w:ilvl w:val="4"/>
        <w:numId w:val="1"/>
      </w:numPr>
      <w:spacing w:after="0" w:before="200" w:line="360" w:lineRule="auto"/>
      <w:jc w:val="both"/>
      <w:outlineLvl w:val="4"/>
    </w:pPr>
    <w:rPr>
      <w:rFonts w:asciiTheme="majorHAnsi" w:cstheme="majorBidi" w:eastAsiaTheme="majorEastAsia" w:hAnsiTheme="majorHAnsi"/>
      <w:color w:val="1f4d78" w:themeColor="accent1" w:themeShade="00007F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EB2A28"/>
    <w:pPr>
      <w:keepNext w:val="1"/>
      <w:keepLines w:val="1"/>
      <w:numPr>
        <w:ilvl w:val="5"/>
        <w:numId w:val="1"/>
      </w:numPr>
      <w:spacing w:after="0" w:before="200" w:line="360" w:lineRule="auto"/>
      <w:jc w:val="both"/>
      <w:outlineLvl w:val="5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EB2A28"/>
    <w:pPr>
      <w:keepNext w:val="1"/>
      <w:keepLines w:val="1"/>
      <w:numPr>
        <w:ilvl w:val="6"/>
        <w:numId w:val="1"/>
      </w:numPr>
      <w:spacing w:after="0" w:before="200" w:line="360" w:lineRule="auto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EB2A28"/>
    <w:pPr>
      <w:keepNext w:val="1"/>
      <w:keepLines w:val="1"/>
      <w:numPr>
        <w:ilvl w:val="7"/>
        <w:numId w:val="1"/>
      </w:numPr>
      <w:spacing w:after="0" w:before="200" w:line="360" w:lineRule="auto"/>
      <w:jc w:val="both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EB2A28"/>
    <w:pPr>
      <w:keepNext w:val="1"/>
      <w:keepLines w:val="1"/>
      <w:numPr>
        <w:ilvl w:val="8"/>
        <w:numId w:val="1"/>
      </w:numPr>
      <w:spacing w:after="0" w:before="200" w:line="360" w:lineRule="auto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EB2A28"/>
    <w:rPr>
      <w:rFonts w:ascii="Times New Roman" w:hAnsi="Times New Roman" w:cstheme="majorBidi" w:eastAsiaTheme="majorEastAsia"/>
      <w:b w:val="1"/>
      <w:bCs w:val="1"/>
      <w:sz w:val="32"/>
      <w:szCs w:val="28"/>
    </w:rPr>
  </w:style>
  <w:style w:type="character" w:styleId="Nadpis2Char" w:customStyle="1">
    <w:name w:val="Nadpis 2 Char"/>
    <w:aliases w:val="Nadpis 1.1 Char"/>
    <w:basedOn w:val="Standardnpsmoodstavce"/>
    <w:link w:val="Nadpis2"/>
    <w:uiPriority w:val="9"/>
    <w:rsid w:val="00EB2A28"/>
    <w:rPr>
      <w:rFonts w:ascii="Times New Roman" w:hAnsi="Times New Roman" w:cstheme="majorBidi" w:eastAsiaTheme="majorEastAsia"/>
      <w:b w:val="1"/>
      <w:bCs w:val="1"/>
      <w:sz w:val="28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rsid w:val="00EB2A28"/>
    <w:rPr>
      <w:rFonts w:ascii="Times New Roman" w:hAnsi="Times New Roman" w:cstheme="majorBidi" w:eastAsiaTheme="majorEastAsia"/>
      <w:b w:val="1"/>
      <w:bCs w:val="1"/>
      <w:sz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EB2A28"/>
    <w:rPr>
      <w:rFonts w:asciiTheme="majorHAnsi" w:cstheme="majorBidi" w:eastAsiaTheme="majorEastAsia" w:hAnsiTheme="majorHAnsi"/>
      <w:b w:val="1"/>
      <w:bCs w:val="1"/>
      <w:i w:val="1"/>
      <w:iCs w:val="1"/>
      <w:color w:val="5b9bd5" w:themeColor="accent1"/>
      <w:sz w:val="24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EB2A28"/>
    <w:rPr>
      <w:rFonts w:asciiTheme="majorHAnsi" w:cstheme="majorBidi" w:eastAsiaTheme="majorEastAsia" w:hAnsiTheme="majorHAnsi"/>
      <w:color w:val="1f4d78" w:themeColor="accent1" w:themeShade="00007F"/>
      <w:sz w:val="24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EB2A28"/>
    <w:rPr>
      <w:rFonts w:asciiTheme="majorHAnsi" w:cstheme="majorBidi" w:eastAsiaTheme="majorEastAsia" w:hAnsiTheme="majorHAnsi"/>
      <w:i w:val="1"/>
      <w:iCs w:val="1"/>
      <w:color w:val="1f4d78" w:themeColor="accent1" w:themeShade="00007F"/>
      <w:sz w:val="24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EB2A28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4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EB2A28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EB2A28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Odstavecseseznamem">
    <w:name w:val="List Paragraph"/>
    <w:basedOn w:val="Normln"/>
    <w:uiPriority w:val="34"/>
    <w:qFormat w:val="1"/>
    <w:rsid w:val="00EB2A28"/>
    <w:pPr>
      <w:spacing w:after="200" w:line="360" w:lineRule="auto"/>
      <w:ind w:left="720"/>
      <w:contextualSpacing w:val="1"/>
      <w:jc w:val="both"/>
    </w:pPr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 w:val="1"/>
    <w:rsid w:val="00EB2A28"/>
    <w:rPr>
      <w:color w:val="0563c1" w:themeColor="hyperlink"/>
      <w:u w:val="single"/>
    </w:rPr>
  </w:style>
  <w:style w:type="character" w:styleId="TextpoznpodarouChar" w:customStyle="1">
    <w:name w:val="Text pozn. pod čarou Char"/>
    <w:aliases w:val="stile 1 Char,Footnote Char,Footnote1 Char,Footnote2 Char,Footnote3 Char,Footnote4 Char,Footnote5 Char,Footnote6 Char,Footnote7 Char,Footnote8 Char,Footnote9 Char,Footnote10 Char,Footnote11 Char,Footnote21 Char,Footnote31 Char"/>
    <w:link w:val="Textpoznpodarou"/>
    <w:uiPriority w:val="99"/>
    <w:locked w:val="1"/>
    <w:rsid w:val="00EB2A28"/>
    <w:rPr>
      <w:rFonts w:ascii="Calibri" w:cs="Times New Roman" w:eastAsia="Times New Roman" w:hAnsi="Calibri"/>
      <w:sz w:val="20"/>
      <w:szCs w:val="20"/>
      <w:lang w:eastAsia="cs-CZ"/>
    </w:rPr>
  </w:style>
  <w:style w:type="paragraph" w:styleId="Textpoznpodarou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ln"/>
    <w:link w:val="TextpoznpodarouChar"/>
    <w:uiPriority w:val="99"/>
    <w:unhideWhenUsed w:val="1"/>
    <w:rsid w:val="00EB2A28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cs-CZ"/>
    </w:rPr>
  </w:style>
  <w:style w:type="character" w:styleId="TextpoznpodarouChar1" w:customStyle="1">
    <w:name w:val="Text pozn. pod čarou Char1"/>
    <w:basedOn w:val="Standardnpsmoodstavce"/>
    <w:uiPriority w:val="99"/>
    <w:semiHidden w:val="1"/>
    <w:rsid w:val="00EB2A28"/>
    <w:rPr>
      <w:sz w:val="20"/>
      <w:szCs w:val="20"/>
    </w:rPr>
  </w:style>
  <w:style w:type="character" w:styleId="Znakapoznpodarou">
    <w:name w:val="footnote reference"/>
    <w:aliases w:val="B2,B21"/>
    <w:uiPriority w:val="99"/>
    <w:unhideWhenUsed w:val="1"/>
    <w:rsid w:val="00EB2A28"/>
    <w:rPr>
      <w:vertAlign w:val="superscript"/>
    </w:rPr>
  </w:style>
  <w:style w:type="table" w:styleId="Mkatabulky">
    <w:name w:val="Table Grid"/>
    <w:basedOn w:val="Normlntabulka"/>
    <w:uiPriority w:val="39"/>
    <w:rsid w:val="00EB2A2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image" Target="media/image1.png"/><Relationship Id="rId12" Type="http://schemas.openxmlformats.org/officeDocument/2006/relationships/footer" Target="footer2.xml"/><Relationship Id="rId9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www.msmarsovice.cz/assets/File.ashx?id_org=400137&amp;id_dokumenty=108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c000v09BpRRi4VC2ySIbhK1wQw==">AMUW2mVMNmlRuvMnKilmqLPY11ekOET2t2NdQtwhUQ2hdO8O2gb6PmgI8+v8U7fiuYWM940UJrCc/thU40LQHMCj9Re0TaNwatiUxd9HYKc31Mopu7feLkb3zw8iezVa0j+mv8jUeNkLRhoMQU4iBs7BiHKpba0DVkfQpE8+a6e4cxCBVHSN+co=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2020-05-23T22:35:00Z</dcterms:created>
  <dc:creator>Veronika Laufkova</dc:creator>
</cp:coreProperties>
</file>