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both"/>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571500</wp:posOffset>
                </wp:positionH>
                <wp:positionV relativeFrom="paragraph">
                  <wp:posOffset>121920</wp:posOffset>
                </wp:positionV>
                <wp:extent cx="4696460" cy="1095375"/>
                <wp:effectExtent b="0" l="0" r="0" t="0"/>
                <wp:wrapSquare wrapText="bothSides" distB="45720" distT="45720" distL="114300" distR="114300"/>
                <wp:docPr id="26" name=""/>
                <a:graphic>
                  <a:graphicData uri="http://schemas.microsoft.com/office/word/2010/wordprocessingShape">
                    <wps:wsp>
                      <wps:cNvSpPr/>
                      <wps:cNvPr id="2" name="Shape 2"/>
                      <wps:spPr>
                        <a:xfrm>
                          <a:off x="3002533" y="3237075"/>
                          <a:ext cx="4686935" cy="1085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Cesta k výjimečnosti. Leadership pro vedoucí pracovníky škol</w:t>
                            </w:r>
                          </w:p>
                          <w:p w:rsidR="00000000" w:rsidDel="00000000" w:rsidP="00000000" w:rsidRDefault="00000000" w:rsidRPr="00000000">
                            <w:pPr>
                              <w:spacing w:after="120" w:before="120" w:line="28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CZ.02.3.68/0.0/0.0/16_032/0008258</w:t>
                            </w:r>
                          </w:p>
                          <w:p w:rsidR="00000000" w:rsidDel="00000000" w:rsidP="00000000" w:rsidRDefault="00000000" w:rsidRPr="00000000">
                            <w:pPr>
                              <w:spacing w:after="20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571500</wp:posOffset>
                </wp:positionH>
                <wp:positionV relativeFrom="paragraph">
                  <wp:posOffset>121920</wp:posOffset>
                </wp:positionV>
                <wp:extent cx="4696460" cy="1095375"/>
                <wp:effectExtent b="0" l="0" r="0" t="0"/>
                <wp:wrapSquare wrapText="bothSides" distB="45720" distT="45720" distL="114300" distR="114300"/>
                <wp:docPr id="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696460" cy="1095375"/>
                        </a:xfrm>
                        <a:prstGeom prst="rect"/>
                        <a:ln/>
                      </pic:spPr>
                    </pic:pic>
                  </a:graphicData>
                </a:graphic>
              </wp:anchor>
            </w:drawing>
          </mc:Fallback>
        </mc:AlternateContent>
      </w:r>
    </w:p>
    <w:p w:rsidR="00000000" w:rsidDel="00000000" w:rsidP="00000000" w:rsidRDefault="00000000" w:rsidRPr="00000000" w14:paraId="00000002">
      <w:pPr>
        <w:spacing w:after="200" w:line="240" w:lineRule="auto"/>
        <w:jc w:val="both"/>
        <w:rPr/>
      </w:pPr>
      <w:r w:rsidDel="00000000" w:rsidR="00000000" w:rsidRPr="00000000">
        <w:rPr>
          <w:rtl w:val="0"/>
        </w:rPr>
      </w:r>
    </w:p>
    <w:p w:rsidR="00000000" w:rsidDel="00000000" w:rsidP="00000000" w:rsidRDefault="00000000" w:rsidRPr="00000000" w14:paraId="00000003">
      <w:pPr>
        <w:spacing w:after="200" w:line="240" w:lineRule="auto"/>
        <w:jc w:val="both"/>
        <w:rPr/>
      </w:pPr>
      <w:r w:rsidDel="00000000" w:rsidR="00000000" w:rsidRPr="00000000">
        <w:rPr>
          <w:rtl w:val="0"/>
        </w:rPr>
      </w:r>
    </w:p>
    <w:tbl>
      <w:tblPr>
        <w:tblStyle w:val="Table1"/>
        <w:tblW w:w="5460.0" w:type="dxa"/>
        <w:jc w:val="left"/>
        <w:tblInd w:w="1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tblGridChange w:id="0">
          <w:tblGrid>
            <w:gridCol w:w="5460"/>
          </w:tblGrid>
        </w:tblGridChange>
      </w:tblGrid>
      <w:tr>
        <w:trPr>
          <w:trHeight w:val="1148.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00" w:line="240" w:lineRule="auto"/>
              <w:jc w:val="center"/>
              <w:rPr>
                <w:b w:val="1"/>
              </w:rPr>
            </w:pPr>
            <w:r w:rsidDel="00000000" w:rsidR="00000000" w:rsidRPr="00000000">
              <w:rPr>
                <w:b w:val="1"/>
                <w:rtl w:val="0"/>
              </w:rPr>
              <w:t xml:space="preserve">Modul Zavádění formativního hodnocení ve škole</w:t>
            </w:r>
          </w:p>
          <w:p w:rsidR="00000000" w:rsidDel="00000000" w:rsidP="00000000" w:rsidRDefault="00000000" w:rsidRPr="00000000" w14:paraId="00000005">
            <w:pPr>
              <w:spacing w:after="120" w:line="360" w:lineRule="auto"/>
              <w:jc w:val="center"/>
              <w:rPr>
                <w:b w:val="1"/>
              </w:rPr>
            </w:pPr>
            <w:r w:rsidDel="00000000" w:rsidR="00000000" w:rsidRPr="00000000">
              <w:rPr>
                <w:b w:val="1"/>
                <w:sz w:val="24"/>
                <w:szCs w:val="24"/>
                <w:rtl w:val="0"/>
              </w:rPr>
              <w:t xml:space="preserve">Distanční část – Práce s cíli v mateřské škole</w:t>
            </w:r>
            <w:r w:rsidDel="00000000" w:rsidR="00000000" w:rsidRPr="00000000">
              <w:rPr>
                <w:rtl w:val="0"/>
              </w:rPr>
            </w:r>
          </w:p>
        </w:tc>
      </w:tr>
    </w:tbl>
    <w:p w:rsidR="00000000" w:rsidDel="00000000" w:rsidP="00000000" w:rsidRDefault="00000000" w:rsidRPr="00000000" w14:paraId="00000006">
      <w:pPr>
        <w:spacing w:after="200" w:line="240" w:lineRule="auto"/>
        <w:jc w:val="both"/>
        <w:rPr/>
      </w:pPr>
      <w:r w:rsidDel="00000000" w:rsidR="00000000" w:rsidRPr="00000000">
        <w:rPr>
          <w:rtl w:val="0"/>
        </w:rPr>
      </w:r>
    </w:p>
    <w:p w:rsidR="00000000" w:rsidDel="00000000" w:rsidP="00000000" w:rsidRDefault="00000000" w:rsidRPr="00000000" w14:paraId="00000007">
      <w:pPr>
        <w:spacing w:after="200" w:line="240" w:lineRule="auto"/>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586105</wp:posOffset>
            </wp:positionH>
            <wp:positionV relativeFrom="paragraph">
              <wp:posOffset>0</wp:posOffset>
            </wp:positionV>
            <wp:extent cx="4686935" cy="5372735"/>
            <wp:effectExtent b="0" l="0" r="0" t="0"/>
            <wp:wrapSquare wrapText="bothSides" distB="0" distT="0" distL="114300" distR="114300"/>
            <wp:docPr id="3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86935" cy="5372735"/>
                    </a:xfrm>
                    <a:prstGeom prst="rect"/>
                    <a:ln/>
                  </pic:spPr>
                </pic:pic>
              </a:graphicData>
            </a:graphic>
          </wp:anchor>
        </w:drawing>
      </w:r>
    </w:p>
    <w:p w:rsidR="00000000" w:rsidDel="00000000" w:rsidP="00000000" w:rsidRDefault="00000000" w:rsidRPr="00000000" w14:paraId="00000008">
      <w:pPr>
        <w:spacing w:after="200" w:line="240" w:lineRule="auto"/>
        <w:jc w:val="both"/>
        <w:rPr/>
      </w:pPr>
      <w:r w:rsidDel="00000000" w:rsidR="00000000" w:rsidRPr="00000000">
        <w:rPr>
          <w:rtl w:val="0"/>
        </w:rPr>
      </w:r>
    </w:p>
    <w:p w:rsidR="00000000" w:rsidDel="00000000" w:rsidP="00000000" w:rsidRDefault="00000000" w:rsidRPr="00000000" w14:paraId="00000009">
      <w:pPr>
        <w:spacing w:after="200" w:line="240" w:lineRule="auto"/>
        <w:jc w:val="both"/>
        <w:rPr/>
      </w:pPr>
      <w:r w:rsidDel="00000000" w:rsidR="00000000" w:rsidRPr="00000000">
        <w:rPr>
          <w:rtl w:val="0"/>
        </w:rPr>
      </w:r>
    </w:p>
    <w:p w:rsidR="00000000" w:rsidDel="00000000" w:rsidP="00000000" w:rsidRDefault="00000000" w:rsidRPr="00000000" w14:paraId="0000000A">
      <w:pPr>
        <w:spacing w:after="200" w:line="240" w:lineRule="auto"/>
        <w:jc w:val="both"/>
        <w:rPr/>
      </w:pPr>
      <w:r w:rsidDel="00000000" w:rsidR="00000000" w:rsidRPr="00000000">
        <w:rPr>
          <w:rtl w:val="0"/>
        </w:rPr>
      </w:r>
    </w:p>
    <w:p w:rsidR="00000000" w:rsidDel="00000000" w:rsidP="00000000" w:rsidRDefault="00000000" w:rsidRPr="00000000" w14:paraId="0000000B">
      <w:pPr>
        <w:spacing w:after="200" w:line="240" w:lineRule="auto"/>
        <w:jc w:val="both"/>
        <w:rPr/>
      </w:pPr>
      <w:r w:rsidDel="00000000" w:rsidR="00000000" w:rsidRPr="00000000">
        <w:rPr>
          <w:rtl w:val="0"/>
        </w:rPr>
      </w:r>
    </w:p>
    <w:p w:rsidR="00000000" w:rsidDel="00000000" w:rsidP="00000000" w:rsidRDefault="00000000" w:rsidRPr="00000000" w14:paraId="0000000C">
      <w:pPr>
        <w:spacing w:after="200" w:line="240" w:lineRule="auto"/>
        <w:jc w:val="both"/>
        <w:rPr/>
      </w:pPr>
      <w:r w:rsidDel="00000000" w:rsidR="00000000" w:rsidRPr="00000000">
        <w:rPr>
          <w:rtl w:val="0"/>
        </w:rPr>
      </w:r>
    </w:p>
    <w:p w:rsidR="00000000" w:rsidDel="00000000" w:rsidP="00000000" w:rsidRDefault="00000000" w:rsidRPr="00000000" w14:paraId="0000000D">
      <w:pPr>
        <w:spacing w:after="200" w:line="240" w:lineRule="auto"/>
        <w:jc w:val="both"/>
        <w:rPr/>
      </w:pPr>
      <w:r w:rsidDel="00000000" w:rsidR="00000000" w:rsidRPr="00000000">
        <w:rPr>
          <w:rtl w:val="0"/>
        </w:rPr>
      </w:r>
    </w:p>
    <w:p w:rsidR="00000000" w:rsidDel="00000000" w:rsidP="00000000" w:rsidRDefault="00000000" w:rsidRPr="00000000" w14:paraId="0000000E">
      <w:pPr>
        <w:spacing w:after="200" w:line="240" w:lineRule="auto"/>
        <w:jc w:val="both"/>
        <w:rPr/>
      </w:pPr>
      <w:r w:rsidDel="00000000" w:rsidR="00000000" w:rsidRPr="00000000">
        <w:rPr>
          <w:rtl w:val="0"/>
        </w:rPr>
      </w:r>
    </w:p>
    <w:p w:rsidR="00000000" w:rsidDel="00000000" w:rsidP="00000000" w:rsidRDefault="00000000" w:rsidRPr="00000000" w14:paraId="0000000F">
      <w:pPr>
        <w:spacing w:after="200" w:line="240" w:lineRule="auto"/>
        <w:jc w:val="both"/>
        <w:rPr/>
      </w:pPr>
      <w:r w:rsidDel="00000000" w:rsidR="00000000" w:rsidRPr="00000000">
        <w:rPr>
          <w:rtl w:val="0"/>
        </w:rPr>
      </w:r>
    </w:p>
    <w:p w:rsidR="00000000" w:rsidDel="00000000" w:rsidP="00000000" w:rsidRDefault="00000000" w:rsidRPr="00000000" w14:paraId="00000010">
      <w:pPr>
        <w:spacing w:after="200" w:line="240" w:lineRule="auto"/>
        <w:jc w:val="both"/>
        <w:rPr/>
      </w:pPr>
      <w:r w:rsidDel="00000000" w:rsidR="00000000" w:rsidRPr="00000000">
        <w:rPr>
          <w:rtl w:val="0"/>
        </w:rPr>
      </w:r>
    </w:p>
    <w:p w:rsidR="00000000" w:rsidDel="00000000" w:rsidP="00000000" w:rsidRDefault="00000000" w:rsidRPr="00000000" w14:paraId="00000011">
      <w:pPr>
        <w:spacing w:after="200" w:line="240" w:lineRule="auto"/>
        <w:jc w:val="both"/>
        <w:rPr/>
      </w:pPr>
      <w:r w:rsidDel="00000000" w:rsidR="00000000" w:rsidRPr="00000000">
        <w:rPr>
          <w:rtl w:val="0"/>
        </w:rPr>
      </w:r>
    </w:p>
    <w:p w:rsidR="00000000" w:rsidDel="00000000" w:rsidP="00000000" w:rsidRDefault="00000000" w:rsidRPr="00000000" w14:paraId="00000012">
      <w:pPr>
        <w:spacing w:after="200" w:line="240" w:lineRule="auto"/>
        <w:jc w:val="both"/>
        <w:rPr/>
      </w:pPr>
      <w:r w:rsidDel="00000000" w:rsidR="00000000" w:rsidRPr="00000000">
        <w:rPr>
          <w:rtl w:val="0"/>
        </w:rPr>
      </w:r>
    </w:p>
    <w:p w:rsidR="00000000" w:rsidDel="00000000" w:rsidP="00000000" w:rsidRDefault="00000000" w:rsidRPr="00000000" w14:paraId="00000013">
      <w:pPr>
        <w:spacing w:after="200" w:line="240" w:lineRule="auto"/>
        <w:jc w:val="both"/>
        <w:rPr/>
      </w:pPr>
      <w:r w:rsidDel="00000000" w:rsidR="00000000" w:rsidRPr="00000000">
        <w:rPr>
          <w:rtl w:val="0"/>
        </w:rPr>
      </w:r>
    </w:p>
    <w:p w:rsidR="00000000" w:rsidDel="00000000" w:rsidP="00000000" w:rsidRDefault="00000000" w:rsidRPr="00000000" w14:paraId="00000014">
      <w:pPr>
        <w:spacing w:after="200" w:line="240" w:lineRule="auto"/>
        <w:jc w:val="both"/>
        <w:rPr/>
      </w:pPr>
      <w:r w:rsidDel="00000000" w:rsidR="00000000" w:rsidRPr="00000000">
        <w:rPr>
          <w:rtl w:val="0"/>
        </w:rPr>
      </w:r>
    </w:p>
    <w:p w:rsidR="00000000" w:rsidDel="00000000" w:rsidP="00000000" w:rsidRDefault="00000000" w:rsidRPr="00000000" w14:paraId="00000015">
      <w:pPr>
        <w:spacing w:after="200" w:line="240" w:lineRule="auto"/>
        <w:jc w:val="both"/>
        <w:rPr/>
      </w:pPr>
      <w:r w:rsidDel="00000000" w:rsidR="00000000" w:rsidRPr="00000000">
        <w:rPr>
          <w:rtl w:val="0"/>
        </w:rPr>
      </w:r>
    </w:p>
    <w:p w:rsidR="00000000" w:rsidDel="00000000" w:rsidP="00000000" w:rsidRDefault="00000000" w:rsidRPr="00000000" w14:paraId="00000016">
      <w:pPr>
        <w:spacing w:after="200" w:line="240" w:lineRule="auto"/>
        <w:jc w:val="both"/>
        <w:rPr/>
      </w:pPr>
      <w:r w:rsidDel="00000000" w:rsidR="00000000" w:rsidRPr="00000000">
        <w:rPr>
          <w:rtl w:val="0"/>
        </w:rPr>
      </w:r>
    </w:p>
    <w:p w:rsidR="00000000" w:rsidDel="00000000" w:rsidP="00000000" w:rsidRDefault="00000000" w:rsidRPr="00000000" w14:paraId="00000017">
      <w:pPr>
        <w:spacing w:after="200" w:line="240" w:lineRule="auto"/>
        <w:jc w:val="both"/>
        <w:rPr/>
      </w:pPr>
      <w:r w:rsidDel="00000000" w:rsidR="00000000" w:rsidRPr="00000000">
        <w:rPr>
          <w:rtl w:val="0"/>
        </w:rPr>
      </w:r>
    </w:p>
    <w:p w:rsidR="00000000" w:rsidDel="00000000" w:rsidP="00000000" w:rsidRDefault="00000000" w:rsidRPr="00000000" w14:paraId="00000018">
      <w:pPr>
        <w:spacing w:after="200" w:line="240" w:lineRule="auto"/>
        <w:jc w:val="both"/>
        <w:rPr/>
      </w:pPr>
      <w:r w:rsidDel="00000000" w:rsidR="00000000" w:rsidRPr="00000000">
        <w:rPr>
          <w:rtl w:val="0"/>
        </w:rPr>
      </w:r>
    </w:p>
    <w:p w:rsidR="00000000" w:rsidDel="00000000" w:rsidP="00000000" w:rsidRDefault="00000000" w:rsidRPr="00000000" w14:paraId="00000019">
      <w:pPr>
        <w:spacing w:after="120" w:line="360" w:lineRule="auto"/>
        <w:rPr>
          <w:rFonts w:ascii="Times New Roman" w:cs="Times New Roman" w:eastAsia="Times New Roman" w:hAnsi="Times New Roman"/>
          <w:b w:val="1"/>
          <w:sz w:val="24"/>
          <w:szCs w:val="24"/>
        </w:rPr>
      </w:pPr>
      <w:bookmarkStart w:colFirst="0" w:colLast="0" w:name="_heading=h.zfx6l3fwlg7h"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2443480</wp:posOffset>
            </wp:positionH>
            <wp:positionV relativeFrom="paragraph">
              <wp:posOffset>0</wp:posOffset>
            </wp:positionV>
            <wp:extent cx="933450" cy="409575"/>
            <wp:effectExtent b="0" l="0" r="0" t="0"/>
            <wp:wrapSquare wrapText="bothSides" distB="0" distT="0" distL="114300" distR="114300"/>
            <wp:docPr id="29"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33450" cy="409575"/>
                    </a:xfrm>
                    <a:prstGeom prst="rect"/>
                    <a:ln/>
                  </pic:spPr>
                </pic:pic>
              </a:graphicData>
            </a:graphic>
          </wp:anchor>
        </w:drawing>
      </w:r>
    </w:p>
    <w:p w:rsidR="00000000" w:rsidDel="00000000" w:rsidP="00000000" w:rsidRDefault="00000000" w:rsidRPr="00000000" w14:paraId="0000001A">
      <w:pPr>
        <w:spacing w:after="120" w:line="360" w:lineRule="auto"/>
        <w:jc w:val="both"/>
        <w:rPr>
          <w:rFonts w:ascii="Times New Roman" w:cs="Times New Roman" w:eastAsia="Times New Roman" w:hAnsi="Times New Roman"/>
          <w:b w:val="1"/>
          <w:sz w:val="24"/>
          <w:szCs w:val="24"/>
        </w:rPr>
        <w:sectPr>
          <w:footerReference r:id="rId11" w:type="default"/>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1B">
      <w:pPr>
        <w:spacing w:after="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Distanční část – Práce s cíli v mateřské škole</w:t>
      </w:r>
    </w:p>
    <w:p w:rsidR="00000000" w:rsidDel="00000000" w:rsidP="00000000" w:rsidRDefault="00000000" w:rsidRPr="00000000" w14:paraId="0000001C">
      <w:pPr>
        <w:spacing w:after="12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Style w:val="Heading1"/>
        <w:spacing w:after="120" w:before="0" w:lineRule="auto"/>
        <w:ind w:left="432" w:hanging="432"/>
        <w:rPr>
          <w:sz w:val="24"/>
          <w:szCs w:val="24"/>
        </w:rPr>
      </w:pPr>
      <w:bookmarkStart w:colFirst="0" w:colLast="0" w:name="_heading=h.gjdgxs" w:id="1"/>
      <w:bookmarkEnd w:id="1"/>
      <w:r w:rsidDel="00000000" w:rsidR="00000000" w:rsidRPr="00000000">
        <w:rPr>
          <w:sz w:val="24"/>
          <w:szCs w:val="24"/>
          <w:rtl w:val="0"/>
        </w:rPr>
        <w:t xml:space="preserve">1 Stanovování výchovně-vzdělávacích cílů</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Dneska jsem učil našeho psa pískat.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Tak ať zapíská!</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ale neumí pískat.</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Ale vždyť si říkal, žes ho učil pískat.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jo, ale neříkal jsem, že jsem ho to naučil.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(volně podle Wiliama, 2011)</w:t>
      </w:r>
      <w:r w:rsidDel="00000000" w:rsidR="00000000" w:rsidRPr="00000000">
        <w:rPr>
          <w:rtl w:val="0"/>
        </w:rPr>
      </w:r>
    </w:p>
    <w:p w:rsidR="00000000" w:rsidDel="00000000" w:rsidP="00000000" w:rsidRDefault="00000000" w:rsidRPr="00000000" w14:paraId="00000023">
      <w:pPr>
        <w:spacing w:after="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Tento vtip ilustruje rozdíl mezi slovesy učit a naučit. Jistě máte ve svém životě zkušenost s něčím, co se již dlouho učíte, ale pořád jste se to nenaučili – třeba cizí jazyky. K tomu, aby se tato situace zlepšila, nám může pomoci práce se vzdělávacími cíli. Přestože stanovování vzdělávacích cílů je jedním z obvyklých témat didaktiky a všichni učitelé se s nimi v nějaké formě v průběhu svého vzdělávání setkali, ukazuje se, že v každodenní praxi se s nimi pracuje spíše výjimečně (Starý, Laufková a kol., 2016). Z výzkumného šetření Burkovičové (2009) mezi učitelkami MŠ s ukončenými středoškolským vzděláním vyplynulo, že cíle školních vzdělávacích programů byly opsány z RVP PV a z třídních vzdělávacích programů nebylo možné posoudit, kterými činnostmi se na naplnění cíle dítětem budou učitelky podílet – tedy i zde se ukázalo, že s výchovně-vzdělávacími cíli se v MŠ systematicky nepracovalo, či zcela výjimečně – jednalo se však o výzkum z roku 2008, situace nyní je již odlišná, a to jak v absolvování vysokoškolských studií učitelek, tak posílením jejich profesního rozvoje.</w:t>
      </w:r>
    </w:p>
    <w:p w:rsidR="00000000" w:rsidDel="00000000" w:rsidP="00000000" w:rsidRDefault="00000000" w:rsidRPr="00000000" w14:paraId="00000025">
      <w:pPr>
        <w:spacing w:after="120" w:line="36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2"/>
        <w:spacing w:after="120" w:before="0" w:lineRule="auto"/>
        <w:ind w:left="576" w:hanging="576"/>
        <w:rPr>
          <w:sz w:val="24"/>
          <w:szCs w:val="24"/>
        </w:rPr>
      </w:pPr>
      <w:bookmarkStart w:colFirst="0" w:colLast="0" w:name="_heading=h.30j0zll" w:id="2"/>
      <w:bookmarkEnd w:id="2"/>
      <w:r w:rsidDel="00000000" w:rsidR="00000000" w:rsidRPr="00000000">
        <w:rPr>
          <w:sz w:val="24"/>
          <w:szCs w:val="24"/>
          <w:rtl w:val="0"/>
        </w:rPr>
        <w:t xml:space="preserve">1.1 Co (ne)jsou výchovně-vzdělávací cíle</w:t>
      </w:r>
    </w:p>
    <w:p w:rsidR="00000000" w:rsidDel="00000000" w:rsidP="00000000" w:rsidRDefault="00000000" w:rsidRPr="00000000" w14:paraId="00000027">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Bude vhodné začít tím, co výchovně-vzdělávací cíle nejsou – a to je např. téma, kterému se chceme s dětmi věnovat nebo ho „probírat“. Výchovně-vzdělávací cíle jsou slovní popisy toho, co se mají děti naučit, jaké znalosti, vědomosti, dovednosti, postoje budou mít jako výsledek jejich učení.  Jedná se tedy o vyjádření výsledku procesu učení, cílový stav, očekávaný výstup, účinek vzdělávání / naší činnosti na dítě.</w:t>
      </w:r>
    </w:p>
    <w:p w:rsidR="00000000" w:rsidDel="00000000" w:rsidP="00000000" w:rsidRDefault="00000000" w:rsidRPr="00000000" w14:paraId="00000028">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Když cíle nejsou stanoveny, můžeme skončit jinde, než jsme chtěli. Cíle tedy mají potenciál orientovat se na učení dítěte a sledování jeho pokroku; poskytují učiteli orientační body a zaměření pro plánování a realizaci edukačních procesů. </w:t>
      </w:r>
    </w:p>
    <w:p w:rsidR="00000000" w:rsidDel="00000000" w:rsidP="00000000" w:rsidRDefault="00000000" w:rsidRPr="00000000" w14:paraId="00000029">
      <w:pPr>
        <w:spacing w:after="120" w:line="36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2"/>
        <w:spacing w:after="120" w:before="0" w:lineRule="auto"/>
        <w:ind w:left="576" w:hanging="576"/>
        <w:rPr>
          <w:sz w:val="24"/>
          <w:szCs w:val="24"/>
        </w:rPr>
      </w:pPr>
      <w:bookmarkStart w:colFirst="0" w:colLast="0" w:name="_heading=h.1fob9te" w:id="3"/>
      <w:bookmarkEnd w:id="3"/>
      <w:r w:rsidDel="00000000" w:rsidR="00000000" w:rsidRPr="00000000">
        <w:rPr>
          <w:sz w:val="24"/>
          <w:szCs w:val="24"/>
          <w:rtl w:val="0"/>
        </w:rPr>
        <w:t xml:space="preserve">1.2 Jak stanovovat výchovně-vzdělávací cíle</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B">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Výchovně-vzdělávací cíle musí být vždy formulovány z hlediska příjemce, tedy z pohledu dítěte. To je ve výroku o cíli vždy podmětem: </w:t>
      </w:r>
      <w:r w:rsidDel="00000000" w:rsidR="00000000" w:rsidRPr="00000000">
        <w:rPr>
          <w:rFonts w:ascii="Times New Roman" w:cs="Times New Roman" w:eastAsia="Times New Roman" w:hAnsi="Times New Roman"/>
          <w:i w:val="1"/>
          <w:sz w:val="24"/>
          <w:szCs w:val="24"/>
          <w:rtl w:val="0"/>
        </w:rPr>
        <w:t xml:space="preserve">dítě zopakuje…., dítě si zapamatuje …, dítě vyjmenuje …, dítě popíše …, dítě uvede …, dítě seřadí…, dítě vybere …, dítě porovná…, dítě vysvětlí …, dítě použije …., dítě navrhne …, dítě sestaví …. </w:t>
      </w:r>
      <w:r w:rsidDel="00000000" w:rsidR="00000000" w:rsidRPr="00000000">
        <w:rPr>
          <w:rFonts w:ascii="Times New Roman" w:cs="Times New Roman" w:eastAsia="Times New Roman" w:hAnsi="Times New Roman"/>
          <w:sz w:val="24"/>
          <w:szCs w:val="24"/>
          <w:rtl w:val="0"/>
        </w:rPr>
        <w:t xml:space="preserve"> Přísudek vyjadřuje, co dítě „udělá“, ale tak, aby bylo možné zjistit, zda bylo cíle dosaženo, měl by tedy být ověřitelný, zjistitelný, případně měřitelný. Přísudek slovesem vyjadřuje mentální činnost/aktivitu – proto se hovoří o tzv. „aktivních slovesech“. Většinou se používají slovesa v dokonavém vidu (vytvoří, vysvětlí, …). </w:t>
      </w:r>
    </w:p>
    <w:p w:rsidR="00000000" w:rsidDel="00000000" w:rsidP="00000000" w:rsidRDefault="00000000" w:rsidRPr="00000000" w14:paraId="0000002C">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Při formulaci výchovně vzdělávacích cílů v kognitivní doméně můžeme využít těchto sloves:</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dimenzi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zapamatování: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zopakuje, pojmenuje, popíše – kdo, co, kde, kdy, označí, uvede příklad, rozpozná, vybere z nabídky, ukáže, udělá, rozdělí, …;</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dimenzi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porozumění: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popíše jak a proč, popíše hlavní části, popíše vztahy mezi částmi, uvede účinky, nakreslí schéma, …;</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dimenzi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analyzování: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porovná, najde rozdíly a podobnosti, rozliší, uspořádá, zařadí do kategorií, pozná problém, opraví, předpoví,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dimenzi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použití: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vybere nejlepší alternativu, přizpůsobí postup, vymyslí způsob jak, zjistí, jak a proč se něco stalo, …</w:t>
      </w:r>
    </w:p>
    <w:p w:rsidR="00000000" w:rsidDel="00000000" w:rsidP="00000000" w:rsidRDefault="00000000" w:rsidRPr="00000000" w14:paraId="00000031">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 děti předškolního věku jsou málo využitelné dimenze metakognitivních procesů a seberegulace: dítě si uvědomuje, do jaké míry jsou mu informace jasné, srozumitelné; uvědomuje si své učební pokroky; stanovuje si vlastní cíle; reflektuje, jaké pocity v něm vzdělávací obsah vyvolává; jaké šance má na úspěch, jak je to pro něj osobně důležité.</w:t>
      </w:r>
    </w:p>
    <w:p w:rsidR="00000000" w:rsidDel="00000000" w:rsidP="00000000" w:rsidRDefault="00000000" w:rsidRPr="00000000" w14:paraId="00000032">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Nevhodná jsou slovesa, u nichž nemůžeme ověřit, zda bylo cíle dosaženo, například: </w:t>
      </w:r>
      <w:r w:rsidDel="00000000" w:rsidR="00000000" w:rsidRPr="00000000">
        <w:rPr>
          <w:rFonts w:ascii="Times New Roman" w:cs="Times New Roman" w:eastAsia="Times New Roman" w:hAnsi="Times New Roman"/>
          <w:i w:val="1"/>
          <w:sz w:val="24"/>
          <w:szCs w:val="24"/>
          <w:rtl w:val="0"/>
        </w:rPr>
        <w:t xml:space="preserve">chápe, zná, se seznámí, si uvědomí, ví</w:t>
      </w:r>
      <w:r w:rsidDel="00000000" w:rsidR="00000000" w:rsidRPr="00000000">
        <w:rPr>
          <w:rFonts w:ascii="Times New Roman" w:cs="Times New Roman" w:eastAsia="Times New Roman" w:hAnsi="Times New Roman"/>
          <w:sz w:val="24"/>
          <w:szCs w:val="24"/>
          <w:rtl w:val="0"/>
        </w:rPr>
        <w:t xml:space="preserve">, je v nich problematická jejich kontrolovatelnost. </w:t>
      </w:r>
    </w:p>
    <w:p w:rsidR="00000000" w:rsidDel="00000000" w:rsidP="00000000" w:rsidRDefault="00000000" w:rsidRPr="00000000" w14:paraId="00000033">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 formulaci cíle je potom velmi důležitý také samotný obsah – až díky němu nabývá sloveso ten správný význam. Dále je možné do formulace cíle uvést i tzv. podmínky (za použití teploměru, …) a stupeň zvládnutí, který konkretizuje čas – do kdy, přesnost, proporce, kvalitu.</w:t>
      </w:r>
    </w:p>
    <w:p w:rsidR="00000000" w:rsidDel="00000000" w:rsidP="00000000" w:rsidRDefault="00000000" w:rsidRPr="00000000" w14:paraId="00000034">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Dobré cíle jsou formulovány tak, aby byly</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konkrétní (pro téma a děti, s nimiž pracujeme),</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hodnotitelné / měřitelné / kontrolovatelné (lze zjišťovat jejich dosažení),</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dosažitelné (adekvátní náročnosti pro dané dítě / děti),</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relevantní (důležitý, realistický, výběr „učiva“ směrem k dětem a jejich schopnostem),</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časově vymezené (do kdy se očekává jejich naplnění – na konci aktivity, dne, týdne,  měsíce, roku, …).</w:t>
      </w:r>
    </w:p>
    <w:p w:rsidR="00000000" w:rsidDel="00000000" w:rsidP="00000000" w:rsidRDefault="00000000" w:rsidRPr="00000000" w14:paraId="0000003A">
      <w:pPr>
        <w:spacing w:after="120" w:line="36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Cíle </w:t>
      </w:r>
      <w:r w:rsidDel="00000000" w:rsidR="00000000" w:rsidRPr="00000000">
        <w:rPr>
          <w:rFonts w:ascii="Times New Roman" w:cs="Times New Roman" w:eastAsia="Times New Roman" w:hAnsi="Times New Roman"/>
          <w:i w:val="1"/>
          <w:sz w:val="24"/>
          <w:szCs w:val="24"/>
          <w:rtl w:val="0"/>
        </w:rPr>
        <w:t xml:space="preserve">dítě rozvine svou lásku ke knihám </w:t>
      </w:r>
      <w:r w:rsidDel="00000000" w:rsidR="00000000" w:rsidRPr="00000000">
        <w:rPr>
          <w:rFonts w:ascii="Times New Roman" w:cs="Times New Roman" w:eastAsia="Times New Roman" w:hAnsi="Times New Roman"/>
          <w:sz w:val="24"/>
          <w:szCs w:val="24"/>
          <w:rtl w:val="0"/>
        </w:rPr>
        <w:t xml:space="preserve">nebo </w:t>
      </w:r>
      <w:r w:rsidDel="00000000" w:rsidR="00000000" w:rsidRPr="00000000">
        <w:rPr>
          <w:rFonts w:ascii="Times New Roman" w:cs="Times New Roman" w:eastAsia="Times New Roman" w:hAnsi="Times New Roman"/>
          <w:i w:val="1"/>
          <w:sz w:val="24"/>
          <w:szCs w:val="24"/>
          <w:rtl w:val="0"/>
        </w:rPr>
        <w:t xml:space="preserve">dítě se seznámí s živočichy podmořského světa</w:t>
      </w:r>
      <w:r w:rsidDel="00000000" w:rsidR="00000000" w:rsidRPr="00000000">
        <w:rPr>
          <w:rFonts w:ascii="Times New Roman" w:cs="Times New Roman" w:eastAsia="Times New Roman" w:hAnsi="Times New Roman"/>
          <w:sz w:val="24"/>
          <w:szCs w:val="24"/>
          <w:rtl w:val="0"/>
        </w:rPr>
        <w:t xml:space="preserve"> nejsou měřitelné. Příklady vhodně formulovaných cílů:</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dítě na konci dne rozlišuje mezi protiklady „plný – prázdný; </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dítě pojmenuje na konci týdne části těla včetně některých vnitřních orgánů (mozek, srdce, plíce, žaludek, střeva);</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dítě na konci měsíce správně vyslovuje hlásku „l“;</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dítě na konci měsíce rozlišuje koncovou hlásku slova.</w:t>
      </w:r>
    </w:p>
    <w:p w:rsidR="00000000" w:rsidDel="00000000" w:rsidP="00000000" w:rsidRDefault="00000000" w:rsidRPr="00000000" w14:paraId="00000040">
      <w:pPr>
        <w:spacing w:after="12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 je patrné, výchovně-vzdělávací cíle můžeme rozlišovat podle různých hledisek: cíle krátkodobé (jedné aktivity / dne) – střednědobé (cíle jednoho tematického celku) – dlouhodobé (cíle na jedno pololetí, rok.). V krátkodobém plánu učitelé konkretizují dílčí cíle vzdělávacích oblastí. Jdeme cestou spirály (viz obrázek č. 1) – pokud chceme, aby děti měly rozvinutou nějakou dovednost, musíme naplánovat činnosti (vzdělávací nabídku), která dětem umožní rozvinout znalosti, dovednosti a schopnosti pro danou kompetenci typické (výstupy). Při sestavování cílů postupujeme od obecnějších po konkrétní.</w:t>
      </w:r>
    </w:p>
    <w:p w:rsidR="00000000" w:rsidDel="00000000" w:rsidP="00000000" w:rsidRDefault="00000000" w:rsidRPr="00000000" w14:paraId="00000041">
      <w:pPr>
        <w:spacing w:after="120"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1972</wp:posOffset>
            </wp:positionV>
            <wp:extent cx="3555365" cy="3139440"/>
            <wp:effectExtent b="0" l="0" r="0" t="0"/>
            <wp:wrapTopAndBottom distB="0" distT="0"/>
            <wp:docPr id="2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555365" cy="3139440"/>
                    </a:xfrm>
                    <a:prstGeom prst="rect"/>
                    <a:ln/>
                  </pic:spPr>
                </pic:pic>
              </a:graphicData>
            </a:graphic>
          </wp:anchor>
        </w:drawing>
      </w:r>
    </w:p>
    <w:p w:rsidR="00000000" w:rsidDel="00000000" w:rsidP="00000000" w:rsidRDefault="00000000" w:rsidRPr="00000000" w14:paraId="00000042">
      <w:pPr>
        <w:spacing w:after="120" w:line="360" w:lineRule="auto"/>
        <w:jc w:val="both"/>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b w:val="1"/>
          <w:sz w:val="24"/>
          <w:szCs w:val="24"/>
          <w:rtl w:val="0"/>
        </w:rPr>
        <w:t xml:space="preserve">Obrázek 1 </w:t>
      </w:r>
      <w:r w:rsidDel="00000000" w:rsidR="00000000" w:rsidRPr="00000000">
        <w:rPr>
          <w:rFonts w:ascii="Times New Roman" w:cs="Times New Roman" w:eastAsia="Times New Roman" w:hAnsi="Times New Roman"/>
          <w:sz w:val="24"/>
          <w:szCs w:val="24"/>
          <w:rtl w:val="0"/>
        </w:rPr>
        <w:t xml:space="preserve">Konkretizace cílů. Zdroj: KREJČOVÁ, Věra, Jana KARGEROVÁ a Zora SYSLOVÁ. </w:t>
      </w:r>
      <w:r w:rsidDel="00000000" w:rsidR="00000000" w:rsidRPr="00000000">
        <w:rPr>
          <w:rFonts w:ascii="Times New Roman" w:cs="Times New Roman" w:eastAsia="Times New Roman" w:hAnsi="Times New Roman"/>
          <w:i w:val="1"/>
          <w:sz w:val="24"/>
          <w:szCs w:val="24"/>
          <w:rtl w:val="0"/>
        </w:rPr>
        <w:t xml:space="preserve">Individualizace v mateřské škole</w:t>
      </w:r>
      <w:r w:rsidDel="00000000" w:rsidR="00000000" w:rsidRPr="00000000">
        <w:rPr>
          <w:rFonts w:ascii="Times New Roman" w:cs="Times New Roman" w:eastAsia="Times New Roman" w:hAnsi="Times New Roman"/>
          <w:sz w:val="24"/>
          <w:szCs w:val="24"/>
          <w:rtl w:val="0"/>
        </w:rPr>
        <w:t xml:space="preserve">. Praha: Portál, 2015. ISBN 978-80-262-0812-9.</w:t>
      </w:r>
    </w:p>
    <w:p w:rsidR="00000000" w:rsidDel="00000000" w:rsidP="00000000" w:rsidRDefault="00000000" w:rsidRPr="00000000" w14:paraId="00000043">
      <w:pPr>
        <w:spacing w:after="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Nestačí však cíle pouze správně zvolit, ale stejně důležité je se k cílům průběžně vracet a zhodnocovat, zda se k cíli dítě / děti blíží, a poskytovat jim odpovídající úkoly a zpětnou vazbu, která ovlivní jejich celkový výkon. Cíle tak bezprostředně souvisí s rozvojovými úkoly, tedy úkoly, které plně respektují potřeby dítěte rozvíjet se v určitých oblastech a které představují šanci k seberealizaci žáků. (Kratochvílová, 2011). V praxi to znamená organizovat učení do menších a smysluplných celků, které umožňují úspěšné zvládnutí. Ideální stav je, když každé dítě pracuje na úrovni svého osobního maxima a přitom svoje učení zvládá, rozumí mu a prožívá svůj osobní úspěch, který vede k motivaci pro danou činnost. </w:t>
      </w:r>
    </w:p>
    <w:p w:rsidR="00000000" w:rsidDel="00000000" w:rsidP="00000000" w:rsidRDefault="00000000" w:rsidRPr="00000000" w14:paraId="00000045">
      <w:pPr>
        <w:spacing w:after="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spacing w:after="120" w:before="0" w:lineRule="auto"/>
        <w:ind w:left="576" w:hanging="576"/>
        <w:rPr>
          <w:sz w:val="24"/>
          <w:szCs w:val="24"/>
        </w:rPr>
      </w:pPr>
      <w:bookmarkStart w:colFirst="0" w:colLast="0" w:name="_heading=h.2et92p0" w:id="5"/>
      <w:bookmarkEnd w:id="5"/>
      <w:r w:rsidDel="00000000" w:rsidR="00000000" w:rsidRPr="00000000">
        <w:rPr>
          <w:sz w:val="24"/>
          <w:szCs w:val="24"/>
          <w:rtl w:val="0"/>
        </w:rPr>
        <w:t xml:space="preserve">1.3 Plánování pozpátku</w:t>
      </w:r>
    </w:p>
    <w:p w:rsidR="00000000" w:rsidDel="00000000" w:rsidP="00000000" w:rsidRDefault="00000000" w:rsidRPr="00000000" w14:paraId="00000047">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Pojímání výchovně-vzdělávacích cílů chápeme tedy jako jednu z metod formativního hodnocení, která je bezprostředně spjata s plánováním a vztahuje se k otázce </w:t>
      </w:r>
      <w:r w:rsidDel="00000000" w:rsidR="00000000" w:rsidRPr="00000000">
        <w:rPr>
          <w:rFonts w:ascii="Times New Roman" w:cs="Times New Roman" w:eastAsia="Times New Roman" w:hAnsi="Times New Roman"/>
          <w:i w:val="1"/>
          <w:sz w:val="24"/>
          <w:szCs w:val="24"/>
          <w:rtl w:val="0"/>
        </w:rPr>
        <w:t xml:space="preserve">Kam směřuji</w:t>
      </w:r>
      <w:r w:rsidDel="00000000" w:rsidR="00000000" w:rsidRPr="00000000">
        <w:rPr>
          <w:rFonts w:ascii="Times New Roman" w:cs="Times New Roman" w:eastAsia="Times New Roman" w:hAnsi="Times New Roman"/>
          <w:sz w:val="24"/>
          <w:szCs w:val="24"/>
          <w:rtl w:val="0"/>
        </w:rPr>
        <w:t xml:space="preserve">. Jedná se tedy o „zamýšlený a očekávaný výsledek“, k němuž učitel v součinnosti s dětmi směřuje. </w:t>
      </w:r>
    </w:p>
    <w:p w:rsidR="00000000" w:rsidDel="00000000" w:rsidP="00000000" w:rsidRDefault="00000000" w:rsidRPr="00000000" w14:paraId="00000048">
      <w:pPr>
        <w:spacing w:after="12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Plánování pozpátku (v souladu s konstruktivistickým pojetím učení) s využitím formulace cílů má potenciál posouvat nás k hlubšímu porozumění o obsahu, rozsahu i uspořádání aktivit tak, že si neklademe jen otázku, co se budou děti učit, ale co se mají naučit. Práce s cíli nám tak umožňuje vyhodnotit postup dítěte vpřed, směrem k cíli.</w:t>
      </w:r>
    </w:p>
    <w:p w:rsidR="00000000" w:rsidDel="00000000" w:rsidP="00000000" w:rsidRDefault="00000000" w:rsidRPr="00000000" w14:paraId="00000049">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Při plánování pozpátku bychom měli nejprve promyslet a velmi přesně a konkrétně vymezit cílový stav (co nového bude dítě umět, čemu bude dobře rozumět, co si bude pamatovat, a s čím bude mít osobní zkušenost, jak se změní jeho postoje. Dále je podstatné rozmyslet si, jak poznáme, že dítě došlo k cíli nebo že se k němu blíží. Promyslíme a vybereme všechny činnosti, kterými se budeme s dětmi od začátku do konce ubírat, abychom došli k vytyčenému cíli. </w:t>
      </w:r>
    </w:p>
    <w:p w:rsidR="00000000" w:rsidDel="00000000" w:rsidP="00000000" w:rsidRDefault="00000000" w:rsidRPr="00000000" w14:paraId="0000004A">
      <w:pPr>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Smyslem stanovování dílčích cílů je určit druhy změn, které by měly u dítěte nastat, a podle nich naplánovat a vytvořit vzdělávací proces takovým způsobem, že bude těchto cílů dosaženo. Promyšlenost cílů a kritérií hodnocení pomáhá zefektivnit a zkvalitnit podávání zpětné vazby. Přispívá to k porozumění tomu, co se mají děti naučit.</w:t>
      </w:r>
    </w:p>
    <w:p w:rsidR="00000000" w:rsidDel="00000000" w:rsidP="00000000" w:rsidRDefault="00000000" w:rsidRPr="00000000" w14:paraId="0000004B">
      <w:pPr>
        <w:spacing w:after="12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Úkol k cílům a plánování:</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Udělejte si třídní tematický plán na celý týden, který bude obsahovat:</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formulace cíle nebo cílů (z pohledu dětí),</w:t>
      </w:r>
    </w:p>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 vyhodnotíte, že bude těchto cílů dosaženo,</w:t>
      </w:r>
    </w:p>
    <w:p w:rsidR="00000000" w:rsidDel="00000000" w:rsidP="00000000" w:rsidRDefault="00000000" w:rsidRPr="00000000" w14:paraId="00000050">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stručný popis aktivit a činností, které povedou k dosažení cílů.</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Následně realizujte tento třídní týdenní tematický plán a zamyslete se nad tím (písemně reflektujte): vyhodnocení toho, jak se podařilo dětem stanovených cílů dosáhnout; co a jak byste na základě realizace ve své přípravě změnili. </w:t>
      </w:r>
    </w:p>
    <w:sectPr>
      <w:footerReference r:id="rId13" w:type="default"/>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tabs>
        <w:tab w:val="center" w:pos="4536"/>
        <w:tab w:val="right" w:pos="9072"/>
      </w:tabs>
      <w:spacing w:after="0" w:line="240" w:lineRule="auto"/>
      <w:jc w:val="center"/>
      <w:rPr/>
    </w:pPr>
    <w:r w:rsidDel="00000000" w:rsidR="00000000" w:rsidRPr="00000000">
      <w:rPr/>
      <w:drawing>
        <wp:inline distB="0" distT="0" distL="0" distR="0">
          <wp:extent cx="4949421" cy="1098342"/>
          <wp:effectExtent b="0" l="0" r="0" t="0"/>
          <wp:docPr descr="https://opvvv.msmt.cz/media/msmt/uploads/OP_VVV/Pravidla_pro_publicitu/logolinky/Logolink_OP_VVV_hor_barva_cz.jpg" id="28" name="image3.jpg"/>
          <a:graphic>
            <a:graphicData uri="http://schemas.openxmlformats.org/drawingml/2006/picture">
              <pic:pic>
                <pic:nvPicPr>
                  <pic:cNvPr descr="https://opvvv.msmt.cz/media/msmt/uploads/OP_VVV/Pravidla_pro_publicitu/logolinky/Logolink_OP_VVV_hor_barva_cz.jpg" id="0" name="image3.jpg"/>
                  <pic:cNvPicPr preferRelativeResize="0"/>
                </pic:nvPicPr>
                <pic:blipFill>
                  <a:blip r:embed="rId1"/>
                  <a:srcRect b="0" l="0" r="0" t="0"/>
                  <a:stretch>
                    <a:fillRect/>
                  </a:stretch>
                </pic:blipFill>
                <pic:spPr>
                  <a:xfrm>
                    <a:off x="0" y="0"/>
                    <a:ext cx="4949421" cy="1098342"/>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Nejpoužívanějším nástrojem pro stanovování výchovně-vzdělávacích cílů je Bloomova taxonomie z roku 1956 (podrobněji například Skalková, 2007). V roce 2001 byla Bloomova taxonomie revidována, jelikož došlo k rozvoji kognitivní psychologie a behavioristický jednorozměrný model již nevyhovoval (Vávra, 2011). Revidovaná Bloomova taxonomie Andersona a Krathwohla z roku 2001 zavedla taxonomickou tabulku, která sestává ze dvou hlavních domén: znalostí (znalost faktů, pojmů, postupů a metakognice) a kognitivních procesů (zapamatovat, porozumět, aplikovat, analyzovat, hodnotit a tvořit). O šest let později</w:t>
      </w:r>
      <w:r w:rsidDel="00000000" w:rsidR="00000000" w:rsidRPr="00000000">
        <w:rPr>
          <w:b w:val="1"/>
          <w:sz w:val="20"/>
          <w:szCs w:val="20"/>
          <w:rtl w:val="0"/>
        </w:rPr>
        <w:t xml:space="preserve"> </w:t>
      </w:r>
      <w:r w:rsidDel="00000000" w:rsidR="00000000" w:rsidRPr="00000000">
        <w:rPr>
          <w:sz w:val="20"/>
          <w:szCs w:val="20"/>
          <w:rtl w:val="0"/>
        </w:rPr>
        <w:t xml:space="preserve">Marzano a Kendall (2007) představili tzv. „Novou taxonomii vzdělávacích cílů“. Ve své práci vycházeli z konstruktivismu a pokusili se integrovat kognitivní, afektivní a psychomotorickou doménu do jednoho modelu s cílem lépe reflektovat přirozenost učení v jeho komplexnosti, zároveň i některé jevy predikovat (Vávra, 2011). Šest taxonomických úrovní bylo ponecháno a pozornost se upřela na žáka. Nově byly nastaveny tzv. systémy myšlení a tři domény znalostí. Revidovaná i nová taxonomie jsou lépe propracované a vedou k hlubokému zamyšlení nad stanovováním cílů.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Dle tzv. pravidla SMART, případně SMARTER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360" w:lineRule="auto"/>
      <w:ind w:left="432" w:hanging="432"/>
      <w:jc w:val="both"/>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0" w:before="200" w:line="360" w:lineRule="auto"/>
      <w:ind w:left="576" w:hanging="576"/>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0" w:before="200" w:line="360" w:lineRule="auto"/>
      <w:ind w:left="1288" w:hanging="720"/>
      <w:jc w:val="both"/>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0" w:before="200" w:line="360" w:lineRule="auto"/>
      <w:ind w:left="864" w:hanging="864"/>
      <w:jc w:val="both"/>
    </w:pPr>
    <w:rPr>
      <w:rFonts w:ascii="Calibri" w:cs="Calibri" w:eastAsia="Calibri" w:hAnsi="Calibri"/>
      <w:b w:val="1"/>
      <w:i w:val="1"/>
      <w:color w:val="5b9bd5"/>
      <w:sz w:val="24"/>
      <w:szCs w:val="24"/>
    </w:rPr>
  </w:style>
  <w:style w:type="paragraph" w:styleId="Heading5">
    <w:name w:val="heading 5"/>
    <w:basedOn w:val="Normal"/>
    <w:next w:val="Normal"/>
    <w:pPr>
      <w:keepNext w:val="1"/>
      <w:keepLines w:val="1"/>
      <w:spacing w:after="0" w:before="200" w:line="360" w:lineRule="auto"/>
      <w:ind w:left="1008" w:hanging="1008"/>
      <w:jc w:val="both"/>
    </w:pPr>
    <w:rPr>
      <w:rFonts w:ascii="Calibri" w:cs="Calibri" w:eastAsia="Calibri" w:hAnsi="Calibri"/>
      <w:color w:val="1e4d78"/>
      <w:sz w:val="24"/>
      <w:szCs w:val="24"/>
    </w:rPr>
  </w:style>
  <w:style w:type="paragraph" w:styleId="Heading6">
    <w:name w:val="heading 6"/>
    <w:basedOn w:val="Normal"/>
    <w:next w:val="Normal"/>
    <w:pPr>
      <w:keepNext w:val="1"/>
      <w:keepLines w:val="1"/>
      <w:spacing w:after="0" w:before="200" w:line="360" w:lineRule="auto"/>
      <w:ind w:left="1152" w:hanging="1152"/>
      <w:jc w:val="both"/>
    </w:pPr>
    <w:rPr>
      <w:rFonts w:ascii="Calibri" w:cs="Calibri" w:eastAsia="Calibri" w:hAnsi="Calibri"/>
      <w:i w:val="1"/>
      <w:color w:val="1e4d78"/>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link w:val="Nadpis1Char"/>
    <w:uiPriority w:val="9"/>
    <w:qFormat w:val="1"/>
    <w:rsid w:val="001A5E19"/>
    <w:pPr>
      <w:keepNext w:val="1"/>
      <w:keepLines w:val="1"/>
      <w:numPr>
        <w:numId w:val="1"/>
      </w:numPr>
      <w:spacing w:after="0" w:before="480" w:line="360" w:lineRule="auto"/>
      <w:jc w:val="both"/>
      <w:outlineLvl w:val="0"/>
    </w:pPr>
    <w:rPr>
      <w:rFonts w:ascii="Times New Roman" w:hAnsi="Times New Roman" w:cstheme="majorBidi" w:eastAsiaTheme="majorEastAsia"/>
      <w:b w:val="1"/>
      <w:bCs w:val="1"/>
      <w:sz w:val="32"/>
      <w:szCs w:val="28"/>
    </w:rPr>
  </w:style>
  <w:style w:type="paragraph" w:styleId="Nadpis2">
    <w:name w:val="heading 2"/>
    <w:aliases w:val="Nadpis 1.1"/>
    <w:basedOn w:val="Normln"/>
    <w:next w:val="Normln"/>
    <w:link w:val="Nadpis2Char"/>
    <w:uiPriority w:val="9"/>
    <w:unhideWhenUsed w:val="1"/>
    <w:qFormat w:val="1"/>
    <w:rsid w:val="001A5E19"/>
    <w:pPr>
      <w:keepNext w:val="1"/>
      <w:keepLines w:val="1"/>
      <w:numPr>
        <w:ilvl w:val="1"/>
        <w:numId w:val="1"/>
      </w:numPr>
      <w:spacing w:after="0" w:before="200" w:line="360" w:lineRule="auto"/>
      <w:jc w:val="both"/>
      <w:outlineLvl w:val="1"/>
    </w:pPr>
    <w:rPr>
      <w:rFonts w:ascii="Times New Roman" w:hAnsi="Times New Roman" w:cstheme="majorBidi" w:eastAsiaTheme="majorEastAsia"/>
      <w:b w:val="1"/>
      <w:bCs w:val="1"/>
      <w:sz w:val="28"/>
      <w:szCs w:val="26"/>
    </w:rPr>
  </w:style>
  <w:style w:type="paragraph" w:styleId="Nadpis3">
    <w:name w:val="heading 3"/>
    <w:basedOn w:val="Normln"/>
    <w:next w:val="Normln"/>
    <w:link w:val="Nadpis3Char"/>
    <w:uiPriority w:val="9"/>
    <w:unhideWhenUsed w:val="1"/>
    <w:qFormat w:val="1"/>
    <w:rsid w:val="001A5E19"/>
    <w:pPr>
      <w:keepNext w:val="1"/>
      <w:keepLines w:val="1"/>
      <w:numPr>
        <w:ilvl w:val="2"/>
        <w:numId w:val="1"/>
      </w:numPr>
      <w:spacing w:after="0" w:before="200" w:line="360" w:lineRule="auto"/>
      <w:jc w:val="both"/>
      <w:outlineLvl w:val="2"/>
    </w:pPr>
    <w:rPr>
      <w:rFonts w:ascii="Times New Roman" w:hAnsi="Times New Roman" w:cstheme="majorBidi" w:eastAsiaTheme="majorEastAsia"/>
      <w:b w:val="1"/>
      <w:bCs w:val="1"/>
      <w:sz w:val="28"/>
    </w:rPr>
  </w:style>
  <w:style w:type="paragraph" w:styleId="Nadpis4">
    <w:name w:val="heading 4"/>
    <w:basedOn w:val="Normln"/>
    <w:next w:val="Normln"/>
    <w:link w:val="Nadpis4Char"/>
    <w:uiPriority w:val="9"/>
    <w:semiHidden w:val="1"/>
    <w:unhideWhenUsed w:val="1"/>
    <w:qFormat w:val="1"/>
    <w:rsid w:val="001A5E19"/>
    <w:pPr>
      <w:keepNext w:val="1"/>
      <w:keepLines w:val="1"/>
      <w:numPr>
        <w:ilvl w:val="3"/>
        <w:numId w:val="1"/>
      </w:numPr>
      <w:spacing w:after="0" w:before="200" w:line="360" w:lineRule="auto"/>
      <w:jc w:val="both"/>
      <w:outlineLvl w:val="3"/>
    </w:pPr>
    <w:rPr>
      <w:rFonts w:asciiTheme="majorHAnsi" w:cstheme="majorBidi" w:eastAsiaTheme="majorEastAsia" w:hAnsiTheme="majorHAnsi"/>
      <w:b w:val="1"/>
      <w:bCs w:val="1"/>
      <w:i w:val="1"/>
      <w:iCs w:val="1"/>
      <w:color w:val="5b9bd5" w:themeColor="accent1"/>
      <w:sz w:val="24"/>
    </w:rPr>
  </w:style>
  <w:style w:type="paragraph" w:styleId="Nadpis5">
    <w:name w:val="heading 5"/>
    <w:basedOn w:val="Normln"/>
    <w:next w:val="Normln"/>
    <w:link w:val="Nadpis5Char"/>
    <w:uiPriority w:val="9"/>
    <w:semiHidden w:val="1"/>
    <w:unhideWhenUsed w:val="1"/>
    <w:qFormat w:val="1"/>
    <w:rsid w:val="001A5E19"/>
    <w:pPr>
      <w:keepNext w:val="1"/>
      <w:keepLines w:val="1"/>
      <w:numPr>
        <w:ilvl w:val="4"/>
        <w:numId w:val="1"/>
      </w:numPr>
      <w:spacing w:after="0" w:before="200" w:line="360" w:lineRule="auto"/>
      <w:jc w:val="both"/>
      <w:outlineLvl w:val="4"/>
    </w:pPr>
    <w:rPr>
      <w:rFonts w:asciiTheme="majorHAnsi" w:cstheme="majorBidi" w:eastAsiaTheme="majorEastAsia" w:hAnsiTheme="majorHAnsi"/>
      <w:color w:val="1f4d78" w:themeColor="accent1" w:themeShade="00007F"/>
      <w:sz w:val="24"/>
    </w:rPr>
  </w:style>
  <w:style w:type="paragraph" w:styleId="Nadpis6">
    <w:name w:val="heading 6"/>
    <w:basedOn w:val="Normln"/>
    <w:next w:val="Normln"/>
    <w:link w:val="Nadpis6Char"/>
    <w:uiPriority w:val="9"/>
    <w:semiHidden w:val="1"/>
    <w:unhideWhenUsed w:val="1"/>
    <w:qFormat w:val="1"/>
    <w:rsid w:val="001A5E19"/>
    <w:pPr>
      <w:keepNext w:val="1"/>
      <w:keepLines w:val="1"/>
      <w:numPr>
        <w:ilvl w:val="5"/>
        <w:numId w:val="1"/>
      </w:numPr>
      <w:spacing w:after="0" w:before="200" w:line="360" w:lineRule="auto"/>
      <w:jc w:val="both"/>
      <w:outlineLvl w:val="5"/>
    </w:pPr>
    <w:rPr>
      <w:rFonts w:asciiTheme="majorHAnsi" w:cstheme="majorBidi" w:eastAsiaTheme="majorEastAsia" w:hAnsiTheme="majorHAnsi"/>
      <w:i w:val="1"/>
      <w:iCs w:val="1"/>
      <w:color w:val="1f4d78" w:themeColor="accent1" w:themeShade="00007F"/>
      <w:sz w:val="24"/>
    </w:rPr>
  </w:style>
  <w:style w:type="paragraph" w:styleId="Nadpis7">
    <w:name w:val="heading 7"/>
    <w:basedOn w:val="Normln"/>
    <w:next w:val="Normln"/>
    <w:link w:val="Nadpis7Char"/>
    <w:uiPriority w:val="9"/>
    <w:semiHidden w:val="1"/>
    <w:unhideWhenUsed w:val="1"/>
    <w:qFormat w:val="1"/>
    <w:rsid w:val="001A5E19"/>
    <w:pPr>
      <w:keepNext w:val="1"/>
      <w:keepLines w:val="1"/>
      <w:numPr>
        <w:ilvl w:val="6"/>
        <w:numId w:val="1"/>
      </w:numPr>
      <w:spacing w:after="0" w:before="200" w:line="360" w:lineRule="auto"/>
      <w:jc w:val="both"/>
      <w:outlineLvl w:val="6"/>
    </w:pPr>
    <w:rPr>
      <w:rFonts w:asciiTheme="majorHAnsi" w:cstheme="majorBidi" w:eastAsiaTheme="majorEastAsia" w:hAnsiTheme="majorHAnsi"/>
      <w:i w:val="1"/>
      <w:iCs w:val="1"/>
      <w:color w:val="404040" w:themeColor="text1" w:themeTint="0000BF"/>
      <w:sz w:val="24"/>
    </w:rPr>
  </w:style>
  <w:style w:type="paragraph" w:styleId="Nadpis8">
    <w:name w:val="heading 8"/>
    <w:basedOn w:val="Normln"/>
    <w:next w:val="Normln"/>
    <w:link w:val="Nadpis8Char"/>
    <w:uiPriority w:val="9"/>
    <w:semiHidden w:val="1"/>
    <w:unhideWhenUsed w:val="1"/>
    <w:qFormat w:val="1"/>
    <w:rsid w:val="001A5E19"/>
    <w:pPr>
      <w:keepNext w:val="1"/>
      <w:keepLines w:val="1"/>
      <w:numPr>
        <w:ilvl w:val="7"/>
        <w:numId w:val="1"/>
      </w:numPr>
      <w:spacing w:after="0" w:before="200" w:line="360" w:lineRule="auto"/>
      <w:jc w:val="both"/>
      <w:outlineLvl w:val="7"/>
    </w:pPr>
    <w:rPr>
      <w:rFonts w:asciiTheme="majorHAnsi" w:cstheme="majorBidi" w:eastAsiaTheme="majorEastAsia" w:hAnsiTheme="majorHAnsi"/>
      <w:color w:val="404040" w:themeColor="text1" w:themeTint="0000BF"/>
      <w:sz w:val="20"/>
      <w:szCs w:val="20"/>
    </w:rPr>
  </w:style>
  <w:style w:type="paragraph" w:styleId="Nadpis9">
    <w:name w:val="heading 9"/>
    <w:basedOn w:val="Normln"/>
    <w:next w:val="Normln"/>
    <w:link w:val="Nadpis9Char"/>
    <w:uiPriority w:val="9"/>
    <w:semiHidden w:val="1"/>
    <w:unhideWhenUsed w:val="1"/>
    <w:qFormat w:val="1"/>
    <w:rsid w:val="001A5E19"/>
    <w:pPr>
      <w:keepNext w:val="1"/>
      <w:keepLines w:val="1"/>
      <w:numPr>
        <w:ilvl w:val="8"/>
        <w:numId w:val="1"/>
      </w:numPr>
      <w:spacing w:after="0" w:before="200" w:line="360" w:lineRule="auto"/>
      <w:jc w:val="both"/>
      <w:outlineLvl w:val="8"/>
    </w:pPr>
    <w:rPr>
      <w:rFonts w:asciiTheme="majorHAnsi" w:cstheme="majorBidi" w:eastAsiaTheme="majorEastAsia" w:hAnsiTheme="majorHAnsi"/>
      <w:i w:val="1"/>
      <w:iCs w:val="1"/>
      <w:color w:val="404040" w:themeColor="text1" w:themeTint="0000BF"/>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1A5E19"/>
    <w:rPr>
      <w:rFonts w:ascii="Times New Roman" w:hAnsi="Times New Roman" w:cstheme="majorBidi" w:eastAsiaTheme="majorEastAsia"/>
      <w:b w:val="1"/>
      <w:bCs w:val="1"/>
      <w:sz w:val="32"/>
      <w:szCs w:val="28"/>
    </w:rPr>
  </w:style>
  <w:style w:type="character" w:styleId="Nadpis2Char" w:customStyle="1">
    <w:name w:val="Nadpis 2 Char"/>
    <w:aliases w:val="Nadpis 1.1 Char"/>
    <w:basedOn w:val="Standardnpsmoodstavce"/>
    <w:link w:val="Nadpis2"/>
    <w:uiPriority w:val="9"/>
    <w:rsid w:val="001A5E19"/>
    <w:rPr>
      <w:rFonts w:ascii="Times New Roman" w:hAnsi="Times New Roman" w:cstheme="majorBidi" w:eastAsiaTheme="majorEastAsia"/>
      <w:b w:val="1"/>
      <w:bCs w:val="1"/>
      <w:sz w:val="28"/>
      <w:szCs w:val="26"/>
    </w:rPr>
  </w:style>
  <w:style w:type="character" w:styleId="Nadpis3Char" w:customStyle="1">
    <w:name w:val="Nadpis 3 Char"/>
    <w:basedOn w:val="Standardnpsmoodstavce"/>
    <w:link w:val="Nadpis3"/>
    <w:uiPriority w:val="9"/>
    <w:rsid w:val="001A5E19"/>
    <w:rPr>
      <w:rFonts w:ascii="Times New Roman" w:hAnsi="Times New Roman" w:cstheme="majorBidi" w:eastAsiaTheme="majorEastAsia"/>
      <w:b w:val="1"/>
      <w:bCs w:val="1"/>
      <w:sz w:val="28"/>
    </w:rPr>
  </w:style>
  <w:style w:type="character" w:styleId="Nadpis4Char" w:customStyle="1">
    <w:name w:val="Nadpis 4 Char"/>
    <w:basedOn w:val="Standardnpsmoodstavce"/>
    <w:link w:val="Nadpis4"/>
    <w:uiPriority w:val="9"/>
    <w:semiHidden w:val="1"/>
    <w:rsid w:val="001A5E19"/>
    <w:rPr>
      <w:rFonts w:asciiTheme="majorHAnsi" w:cstheme="majorBidi" w:eastAsiaTheme="majorEastAsia" w:hAnsiTheme="majorHAnsi"/>
      <w:b w:val="1"/>
      <w:bCs w:val="1"/>
      <w:i w:val="1"/>
      <w:iCs w:val="1"/>
      <w:color w:val="5b9bd5" w:themeColor="accent1"/>
      <w:sz w:val="24"/>
    </w:rPr>
  </w:style>
  <w:style w:type="character" w:styleId="Nadpis5Char" w:customStyle="1">
    <w:name w:val="Nadpis 5 Char"/>
    <w:basedOn w:val="Standardnpsmoodstavce"/>
    <w:link w:val="Nadpis5"/>
    <w:uiPriority w:val="9"/>
    <w:semiHidden w:val="1"/>
    <w:rsid w:val="001A5E19"/>
    <w:rPr>
      <w:rFonts w:asciiTheme="majorHAnsi" w:cstheme="majorBidi" w:eastAsiaTheme="majorEastAsia" w:hAnsiTheme="majorHAnsi"/>
      <w:color w:val="1f4d78" w:themeColor="accent1" w:themeShade="00007F"/>
      <w:sz w:val="24"/>
    </w:rPr>
  </w:style>
  <w:style w:type="character" w:styleId="Nadpis6Char" w:customStyle="1">
    <w:name w:val="Nadpis 6 Char"/>
    <w:basedOn w:val="Standardnpsmoodstavce"/>
    <w:link w:val="Nadpis6"/>
    <w:uiPriority w:val="9"/>
    <w:semiHidden w:val="1"/>
    <w:rsid w:val="001A5E19"/>
    <w:rPr>
      <w:rFonts w:asciiTheme="majorHAnsi" w:cstheme="majorBidi" w:eastAsiaTheme="majorEastAsia" w:hAnsiTheme="majorHAnsi"/>
      <w:i w:val="1"/>
      <w:iCs w:val="1"/>
      <w:color w:val="1f4d78" w:themeColor="accent1" w:themeShade="00007F"/>
      <w:sz w:val="24"/>
    </w:rPr>
  </w:style>
  <w:style w:type="character" w:styleId="Nadpis7Char" w:customStyle="1">
    <w:name w:val="Nadpis 7 Char"/>
    <w:basedOn w:val="Standardnpsmoodstavce"/>
    <w:link w:val="Nadpis7"/>
    <w:uiPriority w:val="9"/>
    <w:semiHidden w:val="1"/>
    <w:rsid w:val="001A5E19"/>
    <w:rPr>
      <w:rFonts w:asciiTheme="majorHAnsi" w:cstheme="majorBidi" w:eastAsiaTheme="majorEastAsia" w:hAnsiTheme="majorHAnsi"/>
      <w:i w:val="1"/>
      <w:iCs w:val="1"/>
      <w:color w:val="404040" w:themeColor="text1" w:themeTint="0000BF"/>
      <w:sz w:val="24"/>
    </w:rPr>
  </w:style>
  <w:style w:type="character" w:styleId="Nadpis8Char" w:customStyle="1">
    <w:name w:val="Nadpis 8 Char"/>
    <w:basedOn w:val="Standardnpsmoodstavce"/>
    <w:link w:val="Nadpis8"/>
    <w:uiPriority w:val="9"/>
    <w:semiHidden w:val="1"/>
    <w:rsid w:val="001A5E19"/>
    <w:rPr>
      <w:rFonts w:asciiTheme="majorHAnsi" w:cstheme="majorBidi" w:eastAsiaTheme="majorEastAsia" w:hAnsiTheme="majorHAnsi"/>
      <w:color w:val="404040" w:themeColor="text1" w:themeTint="0000BF"/>
      <w:sz w:val="20"/>
      <w:szCs w:val="20"/>
    </w:rPr>
  </w:style>
  <w:style w:type="character" w:styleId="Nadpis9Char" w:customStyle="1">
    <w:name w:val="Nadpis 9 Char"/>
    <w:basedOn w:val="Standardnpsmoodstavce"/>
    <w:link w:val="Nadpis9"/>
    <w:uiPriority w:val="9"/>
    <w:semiHidden w:val="1"/>
    <w:rsid w:val="001A5E19"/>
    <w:rPr>
      <w:rFonts w:asciiTheme="majorHAnsi" w:cstheme="majorBidi" w:eastAsiaTheme="majorEastAsia" w:hAnsiTheme="majorHAnsi"/>
      <w:i w:val="1"/>
      <w:iCs w:val="1"/>
      <w:color w:val="404040" w:themeColor="text1" w:themeTint="0000BF"/>
      <w:sz w:val="20"/>
      <w:szCs w:val="20"/>
    </w:rPr>
  </w:style>
  <w:style w:type="paragraph" w:styleId="Odstavecseseznamem">
    <w:name w:val="List Paragraph"/>
    <w:basedOn w:val="Normln"/>
    <w:uiPriority w:val="34"/>
    <w:qFormat w:val="1"/>
    <w:rsid w:val="001A5E19"/>
    <w:pPr>
      <w:spacing w:after="200" w:line="360" w:lineRule="auto"/>
      <w:ind w:left="720"/>
      <w:contextualSpacing w:val="1"/>
      <w:jc w:val="both"/>
    </w:pPr>
    <w:rPr>
      <w:rFonts w:ascii="Times New Roman" w:hAnsi="Times New Roman"/>
      <w:sz w:val="24"/>
    </w:rPr>
  </w:style>
  <w:style w:type="character" w:styleId="TextpoznpodarouChar" w:customStyle="1">
    <w:name w:val="Text pozn. pod čarou Char"/>
    <w:aliases w:val="stile 1 Char,Footnote Char,Footnote1 Char,Footnote2 Char,Footnote3 Char,Footnote4 Char,Footnote5 Char,Footnote6 Char,Footnote7 Char,Footnote8 Char,Footnote9 Char,Footnote10 Char,Footnote11 Char,Footnote21 Char,Footnote31 Char"/>
    <w:link w:val="Textpoznpodarou"/>
    <w:uiPriority w:val="99"/>
    <w:locked w:val="1"/>
    <w:rsid w:val="001A5E19"/>
    <w:rPr>
      <w:rFonts w:ascii="Calibri" w:cs="Times New Roman" w:eastAsia="Times New Roman" w:hAnsi="Calibri"/>
      <w:sz w:val="20"/>
      <w:szCs w:val="20"/>
      <w:lang w:eastAsia="cs-CZ"/>
    </w:rPr>
  </w:style>
  <w:style w:type="paragraph" w:styleId="Textpoznpodarou">
    <w:name w:val="footnote text"/>
    <w:aliases w:val="stile 1,Footnote,Footnote1,Footnote2,Footnote3,Footnote4,Footnote5,Footnote6,Footnote7,Footnote8,Footnote9,Footnote10,Footnote11,Footnote21,Footnote31,Footnote41,Footnote51,Footnote61,Footnote71,Footnote81,Footnote91"/>
    <w:basedOn w:val="Normln"/>
    <w:link w:val="TextpoznpodarouChar"/>
    <w:uiPriority w:val="99"/>
    <w:unhideWhenUsed w:val="1"/>
    <w:rsid w:val="001A5E19"/>
    <w:pPr>
      <w:spacing w:after="0" w:line="240" w:lineRule="auto"/>
    </w:pPr>
    <w:rPr>
      <w:rFonts w:ascii="Calibri" w:cs="Times New Roman" w:eastAsia="Times New Roman" w:hAnsi="Calibri"/>
      <w:sz w:val="20"/>
      <w:szCs w:val="20"/>
      <w:lang w:eastAsia="cs-CZ"/>
    </w:rPr>
  </w:style>
  <w:style w:type="character" w:styleId="TextpoznpodarouChar1" w:customStyle="1">
    <w:name w:val="Text pozn. pod čarou Char1"/>
    <w:basedOn w:val="Standardnpsmoodstavce"/>
    <w:uiPriority w:val="99"/>
    <w:semiHidden w:val="1"/>
    <w:rsid w:val="001A5E19"/>
    <w:rPr>
      <w:sz w:val="20"/>
      <w:szCs w:val="20"/>
    </w:rPr>
  </w:style>
  <w:style w:type="character" w:styleId="Znakapoznpodarou">
    <w:name w:val="footnote reference"/>
    <w:aliases w:val="B2,B21"/>
    <w:uiPriority w:val="99"/>
    <w:unhideWhenUsed w:val="1"/>
    <w:rsid w:val="001A5E19"/>
    <w:rPr>
      <w:vertAlign w:val="superscript"/>
    </w:rPr>
  </w:style>
  <w:style w:type="character" w:styleId="Zdraznn">
    <w:name w:val="Emphasis"/>
    <w:uiPriority w:val="20"/>
    <w:qFormat w:val="1"/>
    <w:rsid w:val="001A5E19"/>
    <w:rPr>
      <w:i w:val="1"/>
      <w:iCs w:val="1"/>
    </w:rPr>
  </w:style>
  <w:style w:type="paragraph" w:styleId="mottocitt" w:customStyle="1">
    <w:name w:val="motto citát"/>
    <w:basedOn w:val="Normln"/>
    <w:link w:val="mottocittChar"/>
    <w:qFormat w:val="1"/>
    <w:rsid w:val="001A5E19"/>
    <w:pPr>
      <w:spacing w:after="200" w:line="276" w:lineRule="auto"/>
      <w:ind w:left="567"/>
    </w:pPr>
    <w:rPr>
      <w:i w:val="1"/>
    </w:rPr>
  </w:style>
  <w:style w:type="character" w:styleId="mottocittChar" w:customStyle="1">
    <w:name w:val="motto citát Char"/>
    <w:basedOn w:val="Standardnpsmoodstavce"/>
    <w:link w:val="mottocitt"/>
    <w:rsid w:val="001A5E19"/>
    <w:rPr>
      <w:i w:val="1"/>
    </w:rPr>
  </w:style>
  <w:style w:type="character" w:styleId="Hypertextovodkaz">
    <w:name w:val="Hyperlink"/>
    <w:basedOn w:val="Standardnpsmoodstavce"/>
    <w:uiPriority w:val="99"/>
    <w:unhideWhenUsed w:val="1"/>
    <w:rsid w:val="000B6F26"/>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5.png"/><Relationship Id="rId13" Type="http://schemas.openxmlformats.org/officeDocument/2006/relationships/footer" Target="footer2.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9PxwF8LgJqMTQuSMopfI9KpBg==">AMUW2mW7OY1NCodraqex9UO9+pXD1WHHNk8b4zaFFCG8aW56Q7WNclP1BVat9x8SMqBxjiRD+1H6Gy3LfSX1qvj62iqjKNdCh37rQp4yU6bBk80RIeDs0P/QvDXRIyYEvep9wUf5YuTmd0/B6HI1K9X2Y96s0ctUuPuUdY6DM4rB+0Kw/IS03CZYAWLhYWfz0IerTN/3GFUj9wvP6oARwBgZIfZPiddVpw==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2020-05-23T22:34:00Z</dcterms:created>
  <dc:creator>Veronika Laufkova</dc:creator>
</cp:coreProperties>
</file>