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576262</wp:posOffset>
                </wp:positionH>
                <wp:positionV relativeFrom="paragraph">
                  <wp:posOffset>45720</wp:posOffset>
                </wp:positionV>
                <wp:extent cx="4696460" cy="109537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02533" y="3237075"/>
                          <a:ext cx="46869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Cesta k výjimečnosti. Leadership pro vedoucí pracovníky škol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CZ.02.3.68/0.0/0.0/16_032/0008258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576262</wp:posOffset>
                </wp:positionH>
                <wp:positionV relativeFrom="paragraph">
                  <wp:posOffset>45720</wp:posOffset>
                </wp:positionV>
                <wp:extent cx="4696460" cy="1095375"/>
                <wp:effectExtent b="0" l="0" r="0" t="0"/>
                <wp:wrapSquare wrapText="bothSides" distB="45720" distT="4572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6460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825.0" w:type="dxa"/>
        <w:jc w:val="left"/>
        <w:tblInd w:w="1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tblGridChange w:id="0">
          <w:tblGrid>
            <w:gridCol w:w="6825"/>
          </w:tblGrid>
        </w:tblGridChange>
      </w:tblGrid>
      <w:tr>
        <w:trPr>
          <w:trHeight w:val="15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 Zavádění formativního hodnocení ve škole</w:t>
            </w:r>
          </w:p>
          <w:p w:rsidR="00000000" w:rsidDel="00000000" w:rsidP="00000000" w:rsidRDefault="00000000" w:rsidRPr="00000000" w14:paraId="00000005">
            <w:pPr>
              <w:spacing w:after="12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Doporučená literatura – Formativní hodnocení (v mateřské škole)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586105</wp:posOffset>
            </wp:positionH>
            <wp:positionV relativeFrom="paragraph">
              <wp:posOffset>0</wp:posOffset>
            </wp:positionV>
            <wp:extent cx="4577997" cy="5247948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7997" cy="52479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  <w:sectPr>
          <w:footerReference r:id="rId9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2452688</wp:posOffset>
            </wp:positionH>
            <wp:positionV relativeFrom="paragraph">
              <wp:posOffset>190227</wp:posOffset>
            </wp:positionV>
            <wp:extent cx="933450" cy="409575"/>
            <wp:effectExtent b="0" l="0" r="0" t="0"/>
            <wp:wrapSquare wrapText="bothSides" distB="0" distT="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Style w:val="Heading1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Doporučená literatura – Formativní hodnocení (v mateřské škole)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Bečvářová, Z. (2010).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Kvalita, strategie a efektivita v řízení mateřské školy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978-80-7367-221-8.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Bednářová, J., &amp; Šmardová, V. (2015).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zralost: co by mělo umět dítě před vstupem do školy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2. vydání. Brno: Edika, řada Moderní metodika pro rodiče a učitele. ISBN 978-80-266-0793-9.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Burkovičová, R. (2009). Formulace cíle a pedagogické činnosti učitelky MŠ.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Český pedagogický výzkum v mezinárodním kontextu. Sborník příspěvků 16. konference ČAPV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[CD-ROM]. Hradec Králové: PdF UHK.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Dweck, C. S. (2017).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Nastavení mysli: nová psychologie úspěchu, aneb, naučte se využít svůj potenciál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Vydání druhé, aktualizované. Přeložila Kateřina Ešnorová. Brno: Jan Melvil Publishing, řada Žádná velká věda. ISBN 978-80-7555-032-3.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Fisher, R. (2011).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Učíme děti myslet a učit se: praktický průvodce strategiemi vyučování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Vyd. 3. Přeložil Karel Balcar. Praha: Portál, řada Pedagogická praxe. ISBN 978-80-262-0043-7.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Hansen Čechová, B. (2009)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Nápady pro rozvoj a hodnocení klíčových kompetencí žáků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978-80-7367-388-8.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Hegrová, I. (2013/2014). Využití portfolia dítěte jako diagnostického nástroje při přechodu z MŠ na ZŠ.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Komenský: odborný časopis pro učitele základní školy, 138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(4), 47-50. Brno: Academie Jana Amose Komenského, oblast Brno. ISSN 0323-0449.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Holt, J. C. (1995).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se děti učí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Strom. ISBN 80-901662-7-X.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Kasíková, H. (2005).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Učíme (se) spolupráci spoluprací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Kladno: AISIS. ISBN 80-239-4668-4.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Košťálová, H., Miková, Š., &amp; STANG, J. (2008).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hodnocení žáků a studentů: se zaměřením na slovní hodnocení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978-80-7367-314-7.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Kratochvílová, J. (2014).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vést portfolio s dětmi v mateřské škole?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Vysočina Education [on-line]. Dostupné z: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http://www.vys-edu.cz/assets/File.ashx?id_org=600139&amp;id_dokumenty=5696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Kratochvílová, J. (2011).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Systém hodnocení a sebehodnocení žáků: zkušenosti z České republiky i Evropských škol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Brno: MSD. ISBN 978-80-7392-169-9.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Krejčová, V., &amp; Kargerová, J. (2003).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Vzdělávací program Začít spolu: metodický průvodce pro I. stupeň základní školy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80-7178-695-0.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Krejčová, V., Kargerová, J., &amp; Syslová, Z. (2015).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Individualizace v mateřské škole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978-80-262-0812-9.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Mertin, V., &amp; Krejčová, V. (2012).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Metody a postupy poznávání žáka: pedagogická diagnostika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Wolters Kluwer Česká republika. ISBN 978-80-7357-679-0.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Roušarová, I. (2013).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Portfolio dítěte v mateřské škole – diagnostický nástroj rozvoje osobnosti dítěte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Bakalářská práce. Brno: Univerzita Masarykova, Pedagogická fakulta, Katedra primární pedagogiky, 101 s. Vedoucí práce Mgr. Jana Kratochvílová, Ph.D. [on-line]. Dostupné z: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https://is.muni.cz/th/e5vjk/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Slavík, J. (1999).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Hodnocení v současné škole: východiska a nové metody pro praxi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Portál, řada Pedagogická praxe. ISBN 80-7178-262-9.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Starý, K., &amp; a Laufková, V. et al. (2016).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Formativní hodnocení ve výuce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978-80-262-1001-6.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Syslová, Z., Kratochvílová, J. &amp; Fikarová, T. (2018).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Pedagogická diagnostika v MŠ: práce s portfoliem dítěte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Praha: Portál. ISBN 978-80-262-1324-6.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Tomanová, D. (2006).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 do pedagogické diagnostiky v mateřské škole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Olomouc: Univerzita Palackého v Olomouci. ISBN 80-244-1426-0.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Uhlířová, J., &amp; Loudová Stralczynská, B. (2014). Metoda Learning Stories jako efektivní nástroj podpory vzdělávací cesty předškolního dítěte.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Predškolská výchova, 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(4), 20-27. Bratislava: Predškolská výchova. ISSN 0032-7220. [on-line]. Dostupné z: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http://www.capv.cz/images/sborniky/2013/uhlirova_loudova.pdf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Wiliam, D. (2011).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Embedded formative assessment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Bloomington, IN: Solution Tree Press, c2011. ISBN 1935249339.</w:t>
      </w:r>
    </w:p>
    <w:sectPr>
      <w:footerReference r:id="rId14" w:type="default"/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949421" cy="1098342"/>
          <wp:effectExtent b="0" l="0" r="0" t="0"/>
          <wp:docPr descr="https://opvvv.msmt.cz/media/msmt/uploads/OP_VVV/Pravidla_pro_publicitu/logolinky/Logolink_OP_VVV_hor_barva_cz.jpg" id="2" name="image1.jpg"/>
          <a:graphic>
            <a:graphicData uri="http://schemas.openxmlformats.org/drawingml/2006/picture">
              <pic:pic>
                <pic:nvPicPr>
                  <pic:cNvPr descr="https://opvvv.msmt.cz/media/msmt/uploads/OP_VVV/Pravidla_pro_publicitu/logolinky/Logolink_OP_VVV_hor_barva_cz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303765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B52932"/>
    <w:pPr>
      <w:spacing w:after="200" w:line="360" w:lineRule="auto"/>
      <w:ind w:left="720"/>
      <w:contextualSpacing w:val="1"/>
      <w:jc w:val="both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 w:val="1"/>
    <w:rsid w:val="00B52932"/>
    <w:rPr>
      <w:color w:val="0563c1" w:themeColor="hyperlink"/>
      <w:u w:val="single"/>
    </w:rPr>
  </w:style>
  <w:style w:type="character" w:styleId="Zdraznn">
    <w:name w:val="Emphasis"/>
    <w:uiPriority w:val="20"/>
    <w:qFormat w:val="1"/>
    <w:rsid w:val="00B52932"/>
    <w:rPr>
      <w:i w:val="1"/>
      <w:iCs w:val="1"/>
    </w:rPr>
  </w:style>
  <w:style w:type="paragraph" w:styleId="Zhlav">
    <w:name w:val="header"/>
    <w:basedOn w:val="Normln"/>
    <w:link w:val="ZhlavChar"/>
    <w:uiPriority w:val="99"/>
    <w:unhideWhenUsed w:val="1"/>
    <w:rsid w:val="00B5293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styleId="ZhlavChar" w:customStyle="1">
    <w:name w:val="Záhlaví Char"/>
    <w:basedOn w:val="Standardnpsmoodstavce"/>
    <w:link w:val="Zhlav"/>
    <w:uiPriority w:val="99"/>
    <w:rsid w:val="00B52932"/>
    <w:rPr>
      <w:rFonts w:ascii="Times New Roman" w:hAnsi="Times New Roman"/>
      <w:sz w:val="24"/>
    </w:rPr>
  </w:style>
  <w:style w:type="character" w:styleId="Nadpis1Char" w:customStyle="1">
    <w:name w:val="Nadpis 1 Char"/>
    <w:basedOn w:val="Standardnpsmoodstavce"/>
    <w:link w:val="Nadpis1"/>
    <w:uiPriority w:val="9"/>
    <w:rsid w:val="0030376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vys-edu.cz/assets/File.ashx?id_org=600139&amp;id_dokumenty=5696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://www.capv.cz/images/sborniky/2013/uhlirova_loudova.pdf" TargetMode="External"/><Relationship Id="rId12" Type="http://schemas.openxmlformats.org/officeDocument/2006/relationships/hyperlink" Target="https://is.muni.cz/th/e5vjk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pd91wn5/ENNFPvwR9JIdR6/vGw==">AMUW2mWulgA8SReQfid3toiaGb9ZIEkEajJR9aUU+lOkKxK/6j65fgcjgh/ZzwXJ1drgJ+oG0xTy1+3p3YjlJaJnwI25V6fCquZUiHejh74l2KoEcNcjWZZWdL2OoxV5B+eACarw+85G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2020-05-23T22:42:00Z</dcterms:created>
  <dc:creator>Veronika Laufkova</dc:creator>
</cp:coreProperties>
</file>