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88" w:lineRule="auto"/>
        <w:rPr/>
      </w:pPr>
      <w:bookmarkStart w:colFirst="0" w:colLast="0" w:name="_heading=h.3j2qqm3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1244600</wp:posOffset>
                </wp:positionV>
                <wp:extent cx="3874650" cy="1023450"/>
                <wp:effectExtent b="0" l="0" r="0" t="0"/>
                <wp:wrapNone/>
                <wp:docPr id="2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18200" y="3277800"/>
                          <a:ext cx="3855600" cy="10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C0C0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2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4 Soubor materiálů pro realizaci programu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1244600</wp:posOffset>
                </wp:positionV>
                <wp:extent cx="3874650" cy="1023450"/>
                <wp:effectExtent b="0" l="0" r="0" t="0"/>
                <wp:wrapNone/>
                <wp:docPr id="2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4650" cy="102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536738</wp:posOffset>
            </wp:positionH>
            <wp:positionV relativeFrom="paragraph">
              <wp:posOffset>2505075</wp:posOffset>
            </wp:positionV>
            <wp:extent cx="4687200" cy="5371200"/>
            <wp:effectExtent b="0" l="0" r="0" t="0"/>
            <wp:wrapSquare wrapText="bothSides" distB="0" distT="0" distL="114300" distR="114300"/>
            <wp:docPr id="2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7200" cy="537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45720</wp:posOffset>
                </wp:positionV>
                <wp:extent cx="4705985" cy="1066800"/>
                <wp:effectExtent b="0" l="0" r="0" t="0"/>
                <wp:wrapSquare wrapText="bothSides" distB="45720" distT="45720" distL="114300" distR="114300"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533" y="3256125"/>
                          <a:ext cx="468693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Cesta k výjimečnosti. Leadership pro vedoucí pracovníky škol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CZ.02.3.68/0.0/0.0/16_032/0008258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2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45720</wp:posOffset>
                </wp:positionV>
                <wp:extent cx="4705985" cy="1066800"/>
                <wp:effectExtent b="0" l="0" r="0" t="0"/>
                <wp:wrapSquare wrapText="bothSides" distB="45720" distT="45720" distL="114300" distR="114300"/>
                <wp:docPr id="2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985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2413163</wp:posOffset>
            </wp:positionH>
            <wp:positionV relativeFrom="paragraph">
              <wp:posOffset>8081515</wp:posOffset>
            </wp:positionV>
            <wp:extent cx="933450" cy="409575"/>
            <wp:effectExtent b="0" l="0" r="0" t="0"/>
            <wp:wrapSquare wrapText="bothSides" distB="0" distT="0" distL="114300" distR="114300"/>
            <wp:docPr id="23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8rvpnila3s2p" w:id="1"/>
      <w:bookmarkEnd w:id="1"/>
      <w:r w:rsidDel="00000000" w:rsidR="00000000" w:rsidRPr="00000000">
        <w:rPr>
          <w:rtl w:val="0"/>
        </w:rPr>
        <w:t xml:space="preserve">4 Soubor materiálů pro realizaci programu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Dokument obsahuje všechny materiály pro realizaci vzdělávacího programu Akademie leadershipu. Vzdělávací program se dělí do 4 modulů (tematických bloků):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Akademie leadershipu - základní modul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Posílení strategické složky digitální gramotnosti (zkrácený název bloku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Rozvoj kompetencí vedoucích pracovníků institucí poskytujících zájmové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Zavádění formativního hodnocení ve šk</w:t>
      </w:r>
      <w:r w:rsidDel="00000000" w:rsidR="00000000" w:rsidRPr="00000000">
        <w:rPr>
          <w:rtl w:val="0"/>
        </w:rPr>
        <w:t xml:space="preserve">ole (zkrácený název bloku)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Materiály pro realizaci druhého modulu (tematického bloku - Posílení strategické složky digitální gramotnosti) a modulu třetího (Rozvoj kompetencí pro vedoucí pracovníky institucí poskytujících zájmové vzdělávání) mají současně také metodický charakter.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Dokument obsahuje také metodické materiály doplňující metodiku programu. Tyto materiály tvoří následnou kapitolu 5 vzdělávacího programu.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88" w:lineRule="auto"/>
        <w:jc w:val="left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Obsah dokumentu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9060"/>
        </w:tabs>
        <w:spacing w:after="120" w:before="120" w:line="288" w:lineRule="auto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E">
          <w:pPr>
            <w:tabs>
              <w:tab w:val="right" w:pos="9070.511811023624"/>
            </w:tabs>
            <w:spacing w:before="80" w:line="240" w:lineRule="auto"/>
            <w:ind w:left="0" w:firstLine="0"/>
            <w:rPr/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8rvpnila3s2p">
            <w:r w:rsidDel="00000000" w:rsidR="00000000" w:rsidRPr="00000000">
              <w:rPr>
                <w:b w:val="1"/>
                <w:rtl w:val="0"/>
              </w:rPr>
              <w:t xml:space="preserve">4 Soubor materiálů pro realizaci programu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_heading=h.8rvpnila3s2p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right" w:pos="9070.511811023624"/>
            </w:tabs>
            <w:spacing w:before="60" w:line="240" w:lineRule="auto"/>
            <w:ind w:left="360" w:firstLine="0"/>
            <w:rPr/>
          </w:pPr>
          <w:hyperlink w:anchor="_heading=h.etof88za76n">
            <w:r w:rsidDel="00000000" w:rsidR="00000000" w:rsidRPr="00000000">
              <w:rPr>
                <w:rtl w:val="0"/>
              </w:rPr>
              <w:t xml:space="preserve">4.1 Tematický blok č. 1 – Základní tematický blok Akademie leadershipu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_heading=h.etof88za76n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tabs>
              <w:tab w:val="right" w:pos="9070.511811023624"/>
            </w:tabs>
            <w:spacing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 Tematický blok č. 2 – Posílení strategické složky digitální gramotnosti vedoucích pracovníků škol, aneb jak správně rozhodovat v oblasti, ve které nejsem profesionál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tabs>
              <w:tab w:val="right" w:pos="9070.511811023624"/>
            </w:tabs>
            <w:spacing w:before="60" w:line="240" w:lineRule="auto"/>
            <w:ind w:left="360" w:firstLine="0"/>
            <w:rPr/>
          </w:pPr>
          <w:hyperlink w:anchor="_heading=h.ffuali9h7ugv">
            <w:r w:rsidDel="00000000" w:rsidR="00000000" w:rsidRPr="00000000">
              <w:rPr>
                <w:rtl w:val="0"/>
              </w:rPr>
              <w:t xml:space="preserve">4.3 Tematický blok č. 3 – Rozvoj kompetencí vedoucích pracovníků institucí poskytujících zájmové vzdělávání (podrobně rozpracovaný obsah modulu ke stažení)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_heading=h.ffuali9h7ugv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tabs>
              <w:tab w:val="right" w:pos="9070.511811023624"/>
            </w:tabs>
            <w:spacing w:after="80" w:before="60" w:line="240" w:lineRule="auto"/>
            <w:ind w:left="360" w:firstLine="0"/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egqt2p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Tematický blok č. 4 – Zavádění formativního hodnocení ve škole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_heading=h.1egqt2p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heading=h.9gw3x0bb24g4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heading=h.etof88za76n" w:id="3"/>
      <w:bookmarkEnd w:id="3"/>
      <w:r w:rsidDel="00000000" w:rsidR="00000000" w:rsidRPr="00000000">
        <w:rPr>
          <w:rtl w:val="0"/>
        </w:rPr>
        <w:t xml:space="preserve">4.1 Tematický blok č. 1 – Základní tematický blok Akademie leadershipu </w:t>
      </w:r>
    </w:p>
    <w:p w:rsidR="00000000" w:rsidDel="00000000" w:rsidP="00000000" w:rsidRDefault="00000000" w:rsidRPr="00000000" w14:paraId="00000016">
      <w:pPr>
        <w:shd w:fill="ffffff" w:val="clear"/>
        <w:spacing w:after="45" w:lineRule="auto"/>
        <w:rPr/>
      </w:pPr>
      <w:r w:rsidDel="00000000" w:rsidR="00000000" w:rsidRPr="00000000">
        <w:rPr>
          <w:rtl w:val="0"/>
        </w:rPr>
        <w:t xml:space="preserve">V projektu byl vyvinut a dále vylepšen </w:t>
      </w:r>
      <w:r w:rsidDel="00000000" w:rsidR="00000000" w:rsidRPr="00000000">
        <w:rPr>
          <w:i w:val="1"/>
          <w:rtl w:val="0"/>
        </w:rPr>
        <w:t xml:space="preserve">manuál pro účastníky</w:t>
      </w:r>
      <w:r w:rsidDel="00000000" w:rsidR="00000000" w:rsidRPr="00000000">
        <w:rPr>
          <w:rtl w:val="0"/>
        </w:rPr>
        <w:t xml:space="preserve">. Další dokumenty a videa, která byla využita v programu, jsou uvolněné materiály vzdělávací společnosti FranklinCovey a nevznikly z prostředků projektu Cesta k výjimečnosti. Jsou na ně odkazy na konkrétních místech v části rozpracovaný vzdělávací obsah a metodika (2.1 a 3.1) vzdělávacího programu.</w:t>
      </w:r>
    </w:p>
    <w:p w:rsidR="00000000" w:rsidDel="00000000" w:rsidP="00000000" w:rsidRDefault="00000000" w:rsidRPr="00000000" w14:paraId="00000017">
      <w:pPr>
        <w:shd w:fill="ffffff" w:val="clear"/>
        <w:spacing w:after="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Odkaz na „manuál účastníka“ (ke stažení)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88" w:lineRule="auto"/>
        <w:ind w:left="3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heading=h.2d5pdotsba8g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heading=h.1y810tw" w:id="5"/>
      <w:bookmarkEnd w:id="5"/>
      <w:r w:rsidDel="00000000" w:rsidR="00000000" w:rsidRPr="00000000">
        <w:rPr>
          <w:rtl w:val="0"/>
        </w:rPr>
        <w:t xml:space="preserve">4.2 Tematický blok č. 2 – Posílení strategické složky digitální gramotnosti vedoucích pracovníků škol, aneb jak správně rozhodovat v oblasti, ve které nejsem profesionál</w:t>
      </w:r>
    </w:p>
    <w:p w:rsidR="00000000" w:rsidDel="00000000" w:rsidP="00000000" w:rsidRDefault="00000000" w:rsidRPr="00000000" w14:paraId="0000001C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 rámci projektu Cesta k výjimečnosti byly zpracovány čtyři videoprogramy, které ukazují dílčí prvky “digitální přestavby” školy, vybavení, ale zejména jejího vedení i výuky. Videa jsou dostupná na stránce modulu na metodickém portálu, zde: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https://digifolio.rvp.cz/view/view.php?id=17187</w:t>
        </w:r>
      </w:hyperlink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80" w:line="288" w:lineRule="auto"/>
        <w:ind w:left="720" w:hanging="360"/>
        <w:rPr>
          <w:b w:val="0"/>
          <w:sz w:val="22"/>
          <w:szCs w:val="22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IT minimum pro vedoucí pracovníky škol – téma 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b w:val="0"/>
          <w:sz w:val="22"/>
          <w:szCs w:val="22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Technické a programové vybavení škol – téma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b w:val="0"/>
          <w:sz w:val="22"/>
          <w:szCs w:val="22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Informační systémy ve školství – téma 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80" w:before="0" w:beforeAutospacing="0" w:line="288" w:lineRule="auto"/>
        <w:ind w:left="720" w:hanging="360"/>
        <w:rPr>
          <w:b w:val="0"/>
          <w:sz w:val="22"/>
          <w:szCs w:val="22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Automatizace procesů ve školství – téma 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Videoprogramy vhodně doplňují jednotlivá témata tohoto tematického bloku vzdělávacího programu Cesta k výjimečnosti - leadership pro vedoucí pracovníky škol. Ilustrují možnosti využití konkrétních technologických postupů v reálném prostředí českých škol.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Ostatní studijní materiály využitelné pro podporu učení a zavádění digitálních inovací ve školách </w:t>
        <w:br w:type="textWrapping"/>
        <w:t xml:space="preserve">z pozice lídrů jsou </w:t>
      </w:r>
      <w:r w:rsidDel="00000000" w:rsidR="00000000" w:rsidRPr="00000000">
        <w:rPr>
          <w:b w:val="1"/>
          <w:rtl w:val="0"/>
        </w:rPr>
        <w:t xml:space="preserve">pod ochranou autorského práva</w:t>
      </w:r>
      <w:r w:rsidDel="00000000" w:rsidR="00000000" w:rsidRPr="00000000">
        <w:rPr>
          <w:rtl w:val="0"/>
        </w:rPr>
        <w:t xml:space="preserve">. Jsou doporučeny v konkrétních kapitolách </w:t>
      </w:r>
      <w:r w:rsidDel="00000000" w:rsidR="00000000" w:rsidRPr="00000000">
        <w:rPr>
          <w:b w:val="1"/>
          <w:rtl w:val="0"/>
        </w:rPr>
        <w:t xml:space="preserve">metodiky </w:t>
      </w:r>
      <w:r w:rsidDel="00000000" w:rsidR="00000000" w:rsidRPr="00000000">
        <w:rPr>
          <w:rtl w:val="0"/>
        </w:rPr>
        <w:t xml:space="preserve">tohoto modulu (tematického bloku); tedy v části 3 vzdělávacího programu.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heading=h.ffuali9h7ugv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4.3 </w:t>
      </w:r>
      <w:r w:rsidDel="00000000" w:rsidR="00000000" w:rsidRPr="00000000">
        <w:rPr>
          <w:rtl w:val="0"/>
        </w:rPr>
        <w:t xml:space="preserve">Tematický blok č. 3 – Rozvoj kompetencí vedoucích pracovníků institucí poskytujících zájmové vzdělávání (podrobně rozpracovaný obsah modulu ke stažení)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Kapitola obsahuje odkazy na dokumenty k realizaci modulu. Jsou vytvořeny jako soubor pracovních listů, tvoří tedy podobně jako v bloku 1 a 4 “manuál účastníka”. Dokumenty, byly ověřeny lídry z desítky volnočasových školských zařízení a vylepšeny na základě jejich postřehů. Slouží prezenční výuce a také jako podpora přípravy se společná setkání tomto modulu. Ke každé části modulu existují konkrétní sady pracovních listů. V textu rozpracovaného obsahu (část 2.3 vzdělávacího programu) jsou uvedeny odkazy na konkrétní pracovní listy tohoto materiálu.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Odkaz na soubor materiálů a pracovních listů pro účastníka vzdělávání v tomto modulu (tematickém okruhu) (ke stažení)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heading=h.1egqt2p" w:id="7"/>
      <w:bookmarkEnd w:id="7"/>
      <w:r w:rsidDel="00000000" w:rsidR="00000000" w:rsidRPr="00000000">
        <w:rPr>
          <w:rtl w:val="0"/>
        </w:rPr>
        <w:t xml:space="preserve">Tematický blok č. 4 – Zavádění formativního hodnocení ve škole</w:t>
      </w:r>
    </w:p>
    <w:p w:rsidR="00000000" w:rsidDel="00000000" w:rsidP="00000000" w:rsidRDefault="00000000" w:rsidRPr="00000000" w14:paraId="0000002A">
      <w:pPr>
        <w:shd w:fill="ffffff" w:val="clear"/>
        <w:spacing w:after="45" w:lineRule="auto"/>
        <w:rPr/>
      </w:pPr>
      <w:r w:rsidDel="00000000" w:rsidR="00000000" w:rsidRPr="00000000">
        <w:rPr>
          <w:rtl w:val="0"/>
        </w:rPr>
        <w:t xml:space="preserve">V projektu byl vyvinut a dále vylepšen </w:t>
      </w:r>
      <w:r w:rsidDel="00000000" w:rsidR="00000000" w:rsidRPr="00000000">
        <w:rPr>
          <w:i w:val="1"/>
          <w:rtl w:val="0"/>
        </w:rPr>
        <w:t xml:space="preserve">manuál pro účastníky</w:t>
      </w:r>
      <w:r w:rsidDel="00000000" w:rsidR="00000000" w:rsidRPr="00000000">
        <w:rPr>
          <w:rtl w:val="0"/>
        </w:rPr>
        <w:t xml:space="preserve">. Účastník může dále využít karet “dixit” (fotodokumentace je pod licencí creative commons, samotné karty nikoliv). V projektu dále vznikly také tematické karty k jednotlivým kapitolám programu a opory pro hodnocení učení dětí v MŠ.</w:t>
      </w:r>
    </w:p>
    <w:p w:rsidR="00000000" w:rsidDel="00000000" w:rsidP="00000000" w:rsidRDefault="00000000" w:rsidRPr="00000000" w14:paraId="0000002B">
      <w:pPr>
        <w:shd w:fill="ffffff" w:val="clear"/>
        <w:spacing w:after="45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45" w:lineRule="auto"/>
        <w:jc w:val="left"/>
        <w:rPr>
          <w:rFonts w:ascii="Arial" w:cs="Arial" w:eastAsia="Arial" w:hAnsi="Arial"/>
          <w:color w:val="212529"/>
          <w:sz w:val="20"/>
          <w:szCs w:val="20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Odkaz na manuál účastníka (ke stažení)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45" w:lineRule="auto"/>
        <w:jc w:val="left"/>
        <w:rPr>
          <w:rFonts w:ascii="Arial" w:cs="Arial" w:eastAsia="Arial" w:hAnsi="Arial"/>
          <w:color w:val="21252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rtl w:val="0"/>
        </w:rPr>
        <w:t xml:space="preserve">Odkazy na fotodokumentaci balíčku opor pro účastníka: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after="0" w:lineRule="auto"/>
        <w:ind w:left="720" w:hanging="360"/>
        <w:jc w:val="left"/>
        <w:rPr>
          <w:rFonts w:ascii="Arial" w:cs="Arial" w:eastAsia="Arial" w:hAnsi="Arial"/>
          <w:color w:val="212529"/>
          <w:sz w:val="20"/>
          <w:szCs w:val="20"/>
        </w:rPr>
      </w:pPr>
      <w:hyperlink r:id="rId1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Karty dixit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45" w:lineRule="auto"/>
        <w:ind w:left="720" w:hanging="360"/>
        <w:jc w:val="left"/>
        <w:rPr>
          <w:rFonts w:ascii="Arial" w:cs="Arial" w:eastAsia="Arial" w:hAnsi="Arial"/>
          <w:color w:val="212529"/>
          <w:sz w:val="20"/>
          <w:szCs w:val="20"/>
        </w:rPr>
      </w:pPr>
      <w:hyperlink r:id="rId20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Balíček pomůcek k formativnímu hodnocení ve třídě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45" w:lineRule="auto"/>
        <w:jc w:val="left"/>
        <w:rPr>
          <w:rFonts w:ascii="Arial" w:cs="Arial" w:eastAsia="Arial" w:hAnsi="Arial"/>
          <w:color w:val="212529"/>
          <w:sz w:val="20"/>
          <w:szCs w:val="20"/>
        </w:rPr>
      </w:pPr>
      <w:hyperlink r:id="rId21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Odkaz na didaktické karty programu ke stažení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45" w:lineRule="auto"/>
        <w:jc w:val="left"/>
        <w:rPr>
          <w:rFonts w:ascii="Arial" w:cs="Arial" w:eastAsia="Arial" w:hAnsi="Arial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45" w:lineRule="auto"/>
        <w:jc w:val="left"/>
        <w:rPr>
          <w:rFonts w:ascii="Arial" w:cs="Arial" w:eastAsia="Arial" w:hAnsi="Arial"/>
          <w:color w:val="21252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rtl w:val="0"/>
        </w:rPr>
        <w:t xml:space="preserve">Odkazy na distanční rozvíjející texty pro účastníky –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0"/>
          <w:szCs w:val="20"/>
          <w:rtl w:val="0"/>
        </w:rPr>
        <w:t xml:space="preserve">vedoucí pracovníky v MŠ</w:t>
      </w:r>
      <w:r w:rsidDel="00000000" w:rsidR="00000000" w:rsidRPr="00000000">
        <w:rPr>
          <w:rFonts w:ascii="Arial" w:cs="Arial" w:eastAsia="Arial" w:hAnsi="Arial"/>
          <w:color w:val="212529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45" w:lineRule="auto"/>
        <w:ind w:left="1020" w:hanging="360"/>
        <w:jc w:val="left"/>
        <w:rPr>
          <w:rFonts w:ascii="Arial" w:cs="Arial" w:eastAsia="Arial" w:hAnsi="Arial"/>
          <w:color w:val="212529"/>
        </w:rPr>
      </w:pP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kritéria hodnocení v MŠ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after="45" w:lineRule="auto"/>
        <w:ind w:left="1020" w:hanging="360"/>
        <w:jc w:val="left"/>
        <w:rPr>
          <w:rFonts w:ascii="Arial" w:cs="Arial" w:eastAsia="Arial" w:hAnsi="Arial"/>
          <w:color w:val="212529"/>
        </w:rPr>
      </w:pP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portfolia dětí v MŠ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45" w:lineRule="auto"/>
        <w:ind w:left="1020" w:hanging="360"/>
        <w:jc w:val="left"/>
        <w:rPr>
          <w:rFonts w:ascii="Arial" w:cs="Arial" w:eastAsia="Arial" w:hAnsi="Arial"/>
          <w:color w:val="212529"/>
        </w:rPr>
      </w:pPr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sebehodnocení dětí v MŠ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45" w:lineRule="auto"/>
        <w:ind w:left="1020" w:hanging="360"/>
        <w:jc w:val="left"/>
        <w:rPr>
          <w:rFonts w:ascii="Arial" w:cs="Arial" w:eastAsia="Arial" w:hAnsi="Arial"/>
          <w:color w:val="212529"/>
        </w:rPr>
      </w:pPr>
      <w:hyperlink r:id="rId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práce s cíli v MŠ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45" w:lineRule="auto"/>
        <w:ind w:left="1020" w:hanging="360"/>
        <w:jc w:val="left"/>
        <w:rPr>
          <w:rFonts w:ascii="Arial" w:cs="Arial" w:eastAsia="Arial" w:hAnsi="Arial"/>
          <w:color w:val="212529"/>
        </w:rPr>
      </w:pPr>
      <w:hyperlink r:id="rId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doporučená literatura - MŠ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88" w:lineRule="auto"/>
        <w:ind w:left="0" w:firstLine="0"/>
        <w:jc w:val="left"/>
        <w:rPr/>
        <w:sectPr>
          <w:footerReference r:id="rId27" w:type="default"/>
          <w:footerReference r:id="rId28" w:type="first"/>
          <w:pgSz w:h="16838" w:w="11906" w:orient="portrait"/>
          <w:pgMar w:bottom="1627" w:top="1418" w:left="1417" w:right="1418" w:header="709" w:footer="23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4705985" cy="1143000"/>
                <wp:effectExtent b="0" l="0" r="0" t="0"/>
                <wp:wrapSquare wrapText="bothSides" distB="45720" distT="45720" distL="114300" distR="114300"/>
                <wp:docPr id="2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02533" y="3218025"/>
                          <a:ext cx="46869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Cesta k výjimečnosti. Leadership pro vedoucí pracovníky škol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CZ.02.3.68/0.0/0.0/16_032/0008258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4705985" cy="1143000"/>
                <wp:effectExtent b="0" l="0" r="0" t="0"/>
                <wp:wrapSquare wrapText="bothSides" distB="45720" distT="45720" distL="114300" distR="114300"/>
                <wp:docPr id="2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985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30" w:type="default"/>
      <w:type w:val="nextPage"/>
      <w:pgSz w:h="16838" w:w="11906" w:orient="portrait"/>
      <w:pgMar w:bottom="1627" w:top="1418" w:left="1417" w:right="1418" w:header="709" w:footer="2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015"/>
      </w:tabs>
      <w:spacing w:after="0" w:lineRule="auto"/>
      <w:jc w:val="center"/>
      <w:rPr>
        <w:color w:val="000000"/>
      </w:rPr>
    </w:pPr>
    <w:r w:rsidDel="00000000" w:rsidR="00000000" w:rsidRPr="00000000">
      <w:rPr/>
      <w:drawing>
        <wp:inline distB="0" distT="0" distL="0" distR="0">
          <wp:extent cx="4949421" cy="1098342"/>
          <wp:effectExtent b="0" l="0" r="0" t="0"/>
          <wp:docPr descr="https://opvvv.msmt.cz/media/msmt/uploads/OP_VVV/Pravidla_pro_publicitu/logolinky/Logolink_OP_VVV_hor_barva_cz.jpg" id="237" name="image2.jpg"/>
          <a:graphic>
            <a:graphicData uri="http://schemas.openxmlformats.org/drawingml/2006/picture">
              <pic:pic>
                <pic:nvPicPr>
                  <pic:cNvPr descr="https://opvvv.msmt.cz/media/msmt/uploads/OP_VVV/Pravidla_pro_publicitu/logolinky/Logolink_OP_VVV_hor_barva_cz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9421" cy="1098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pos="4536"/>
        <w:tab w:val="right" w:pos="9072"/>
      </w:tabs>
      <w:spacing w:after="0" w:lineRule="auto"/>
      <w:jc w:val="center"/>
      <w:rPr/>
    </w:pPr>
    <w:bookmarkStart w:colFirst="0" w:colLast="0" w:name="_heading=h.xvir7l" w:id="8"/>
    <w:bookmarkEnd w:id="8"/>
    <w:r w:rsidDel="00000000" w:rsidR="00000000" w:rsidRPr="00000000">
      <w:rPr/>
      <w:drawing>
        <wp:inline distB="0" distT="0" distL="0" distR="0">
          <wp:extent cx="4949421" cy="1098342"/>
          <wp:effectExtent b="0" l="0" r="0" t="0"/>
          <wp:docPr descr="https://opvvv.msmt.cz/media/msmt/uploads/OP_VVV/Pravidla_pro_publicitu/logolinky/Logolink_OP_VVV_hor_barva_cz.jpg" id="238" name="image1.jpg"/>
          <a:graphic>
            <a:graphicData uri="http://schemas.openxmlformats.org/drawingml/2006/picture">
              <pic:pic>
                <pic:nvPicPr>
                  <pic:cNvPr descr="https://opvvv.msmt.cz/media/msmt/uploads/OP_VVV/Pravidla_pro_publicitu/logolinky/Logolink_OP_VVV_hor_barva_cz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9421" cy="1098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color w:val="0d0d0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rsid w:val="004307BD"/>
    <w:pPr>
      <w:keepNext w:val="1"/>
      <w:keepLines w:val="1"/>
      <w:outlineLvl w:val="0"/>
    </w:pPr>
    <w:rPr>
      <w:b w:val="1"/>
      <w:color w:val="0d0d0d"/>
      <w:sz w:val="32"/>
      <w:szCs w:val="28"/>
    </w:rPr>
  </w:style>
  <w:style w:type="paragraph" w:styleId="Nadpis2">
    <w:name w:val="heading 2"/>
    <w:basedOn w:val="Normln"/>
    <w:next w:val="Normln"/>
    <w:rsid w:val="004333A0"/>
    <w:pPr>
      <w:keepNext w:val="1"/>
      <w:keepLines w:val="1"/>
      <w:outlineLvl w:val="1"/>
    </w:pPr>
    <w:rPr>
      <w:b w:val="1"/>
      <w:sz w:val="28"/>
      <w:szCs w:val="26"/>
    </w:rPr>
  </w:style>
  <w:style w:type="paragraph" w:styleId="Nadpis3">
    <w:name w:val="heading 3"/>
    <w:basedOn w:val="Normln"/>
    <w:next w:val="Normln"/>
    <w:rsid w:val="00767E68"/>
    <w:pPr>
      <w:keepNext w:val="1"/>
      <w:keepLines w:val="1"/>
      <w:spacing w:after="120" w:before="40"/>
      <w:outlineLvl w:val="2"/>
    </w:pPr>
    <w:rPr>
      <w:rFonts w:cs="Cambria" w:eastAsia="Cambria"/>
      <w:b w:val="1"/>
      <w:sz w:val="24"/>
      <w:szCs w:val="24"/>
    </w:rPr>
  </w:style>
  <w:style w:type="paragraph" w:styleId="Nadpis4">
    <w:name w:val="heading 4"/>
    <w:basedOn w:val="Normln"/>
    <w:next w:val="Normln"/>
    <w:rsid w:val="00767E68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Nadpis5">
    <w:name w:val="heading 5"/>
    <w:basedOn w:val="Normln"/>
    <w:next w:val="Normln"/>
    <w:rsid w:val="00E43AFB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2"/>
    <w:pPr>
      <w:spacing w:after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C0841"/>
    <w:pPr>
      <w:spacing w:after="0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C0841"/>
    <w:rPr>
      <w:rFonts w:ascii="Segoe UI" w:cs="Segoe UI" w:hAnsi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 w:val="1"/>
    <w:rsid w:val="000C084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0C084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 w:val="1"/>
    <w:rsid w:val="00C06CF4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C06CF4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C06CF4"/>
    <w:rPr>
      <w:b w:val="1"/>
      <w:bCs w:val="1"/>
      <w:sz w:val="20"/>
      <w:szCs w:val="20"/>
    </w:rPr>
  </w:style>
  <w:style w:type="paragraph" w:styleId="Odstavecseseznamem">
    <w:name w:val="List Paragraph"/>
    <w:basedOn w:val="Normln"/>
    <w:uiPriority w:val="34"/>
    <w:qFormat w:val="1"/>
    <w:rsid w:val="001F2C80"/>
    <w:pPr>
      <w:ind w:left="720"/>
      <w:contextualSpacing w:val="1"/>
    </w:p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4E2CCB"/>
    <w:pPr>
      <w:spacing w:after="0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4E2CC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4E2CCB"/>
    <w:rPr>
      <w:vertAlign w:val="superscript"/>
    </w:rPr>
  </w:style>
  <w:style w:type="character" w:styleId="apple-tab-span" w:customStyle="1">
    <w:name w:val="apple-tab-span"/>
    <w:basedOn w:val="Standardnpsmoodstavce"/>
    <w:rsid w:val="004E2CCB"/>
  </w:style>
  <w:style w:type="paragraph" w:styleId="Zhlav">
    <w:name w:val="header"/>
    <w:basedOn w:val="Normln"/>
    <w:link w:val="ZhlavChar"/>
    <w:uiPriority w:val="99"/>
    <w:unhideWhenUsed w:val="1"/>
    <w:rsid w:val="004E2CCB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4E2CCB"/>
  </w:style>
  <w:style w:type="paragraph" w:styleId="Zpat">
    <w:name w:val="footer"/>
    <w:basedOn w:val="Normln"/>
    <w:link w:val="ZpatChar"/>
    <w:uiPriority w:val="99"/>
    <w:unhideWhenUsed w:val="1"/>
    <w:rsid w:val="004E2CCB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4E2CCB"/>
  </w:style>
  <w:style w:type="paragraph" w:styleId="Obsah1">
    <w:name w:val="toc 1"/>
    <w:basedOn w:val="Normln"/>
    <w:next w:val="Normln"/>
    <w:autoRedefine w:val="1"/>
    <w:uiPriority w:val="39"/>
    <w:unhideWhenUsed w:val="1"/>
    <w:rsid w:val="00A30BB3"/>
    <w:pPr>
      <w:spacing w:after="100"/>
    </w:pPr>
  </w:style>
  <w:style w:type="paragraph" w:styleId="Obsah2">
    <w:name w:val="toc 2"/>
    <w:basedOn w:val="Normln"/>
    <w:next w:val="Normln"/>
    <w:autoRedefine w:val="1"/>
    <w:uiPriority w:val="39"/>
    <w:unhideWhenUsed w:val="1"/>
    <w:rsid w:val="00A30BB3"/>
    <w:pPr>
      <w:spacing w:after="100"/>
      <w:ind w:left="220"/>
    </w:pPr>
  </w:style>
  <w:style w:type="paragraph" w:styleId="Obsah3">
    <w:name w:val="toc 3"/>
    <w:basedOn w:val="Normln"/>
    <w:next w:val="Normln"/>
    <w:autoRedefine w:val="1"/>
    <w:uiPriority w:val="39"/>
    <w:unhideWhenUsed w:val="1"/>
    <w:rsid w:val="00A30BB3"/>
    <w:pPr>
      <w:spacing w:after="100"/>
      <w:ind w:left="440"/>
    </w:pPr>
  </w:style>
  <w:style w:type="paragraph" w:styleId="Obsah4">
    <w:name w:val="toc 4"/>
    <w:basedOn w:val="Normln"/>
    <w:next w:val="Normln"/>
    <w:autoRedefine w:val="1"/>
    <w:uiPriority w:val="39"/>
    <w:unhideWhenUsed w:val="1"/>
    <w:rsid w:val="00857CF1"/>
    <w:pPr>
      <w:tabs>
        <w:tab w:val="right" w:pos="9061"/>
      </w:tabs>
      <w:spacing w:after="100"/>
      <w:ind w:left="221"/>
      <w:jc w:val="left"/>
    </w:pPr>
  </w:style>
  <w:style w:type="paragraph" w:styleId="Obsah5">
    <w:name w:val="toc 5"/>
    <w:basedOn w:val="Normln"/>
    <w:next w:val="Normln"/>
    <w:autoRedefine w:val="1"/>
    <w:uiPriority w:val="39"/>
    <w:unhideWhenUsed w:val="1"/>
    <w:rsid w:val="00A30BB3"/>
    <w:pPr>
      <w:spacing w:after="100"/>
      <w:ind w:left="880"/>
    </w:pPr>
  </w:style>
  <w:style w:type="paragraph" w:styleId="Obsah6">
    <w:name w:val="toc 6"/>
    <w:basedOn w:val="Normln"/>
    <w:next w:val="Normln"/>
    <w:autoRedefine w:val="1"/>
    <w:uiPriority w:val="39"/>
    <w:unhideWhenUsed w:val="1"/>
    <w:rsid w:val="00A30BB3"/>
    <w:pPr>
      <w:spacing w:after="100" w:line="259" w:lineRule="auto"/>
      <w:ind w:left="1100"/>
      <w:jc w:val="left"/>
    </w:pPr>
    <w:rPr>
      <w:rFonts w:asciiTheme="minorHAnsi" w:cstheme="minorBidi" w:eastAsiaTheme="minorEastAsia" w:hAnsiTheme="minorHAnsi"/>
    </w:rPr>
  </w:style>
  <w:style w:type="paragraph" w:styleId="Obsah7">
    <w:name w:val="toc 7"/>
    <w:basedOn w:val="Normln"/>
    <w:next w:val="Normln"/>
    <w:autoRedefine w:val="1"/>
    <w:uiPriority w:val="39"/>
    <w:unhideWhenUsed w:val="1"/>
    <w:rsid w:val="00A30BB3"/>
    <w:pPr>
      <w:spacing w:after="100" w:line="259" w:lineRule="auto"/>
      <w:ind w:left="1320"/>
      <w:jc w:val="left"/>
    </w:pPr>
    <w:rPr>
      <w:rFonts w:asciiTheme="minorHAnsi" w:cstheme="minorBidi" w:eastAsiaTheme="minorEastAsia" w:hAnsiTheme="minorHAnsi"/>
    </w:rPr>
  </w:style>
  <w:style w:type="paragraph" w:styleId="Obsah8">
    <w:name w:val="toc 8"/>
    <w:basedOn w:val="Normln"/>
    <w:next w:val="Normln"/>
    <w:autoRedefine w:val="1"/>
    <w:uiPriority w:val="39"/>
    <w:unhideWhenUsed w:val="1"/>
    <w:rsid w:val="00A30BB3"/>
    <w:pPr>
      <w:spacing w:after="100" w:line="259" w:lineRule="auto"/>
      <w:ind w:left="1540"/>
      <w:jc w:val="left"/>
    </w:pPr>
    <w:rPr>
      <w:rFonts w:asciiTheme="minorHAnsi" w:cstheme="minorBidi" w:eastAsiaTheme="minorEastAsia" w:hAnsiTheme="minorHAnsi"/>
    </w:rPr>
  </w:style>
  <w:style w:type="paragraph" w:styleId="Obsah9">
    <w:name w:val="toc 9"/>
    <w:basedOn w:val="Normln"/>
    <w:next w:val="Normln"/>
    <w:autoRedefine w:val="1"/>
    <w:uiPriority w:val="39"/>
    <w:unhideWhenUsed w:val="1"/>
    <w:rsid w:val="00A30BB3"/>
    <w:pPr>
      <w:spacing w:after="100" w:line="259" w:lineRule="auto"/>
      <w:ind w:left="1760"/>
      <w:jc w:val="left"/>
    </w:pPr>
    <w:rPr>
      <w:rFonts w:asciiTheme="minorHAnsi" w:cstheme="minorBidi" w:eastAsiaTheme="minorEastAsia" w:hAnsiTheme="minorHAnsi"/>
    </w:rPr>
  </w:style>
  <w:style w:type="paragraph" w:styleId="Bezmezer">
    <w:name w:val="No Spacing"/>
    <w:uiPriority w:val="1"/>
    <w:qFormat w:val="1"/>
    <w:rsid w:val="0088507B"/>
    <w:pPr>
      <w:spacing w:after="0"/>
    </w:pPr>
  </w:style>
  <w:style w:type="character" w:styleId="Siln">
    <w:name w:val="Strong"/>
    <w:basedOn w:val="Standardnpsmoodstavce"/>
    <w:uiPriority w:val="22"/>
    <w:qFormat w:val="1"/>
    <w:rsid w:val="00547B5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igifolio.rvp.cz/view/artefact.php?artefact=90228&amp;view=17185" TargetMode="External"/><Relationship Id="rId22" Type="http://schemas.openxmlformats.org/officeDocument/2006/relationships/hyperlink" Target="https://digifolio.rvp.cz/view/artefact.php?artefact=97120&amp;view=17185" TargetMode="External"/><Relationship Id="rId21" Type="http://schemas.openxmlformats.org/officeDocument/2006/relationships/hyperlink" Target="https://digifolio.rvp.cz/view/artefact.php?artefact=90190&amp;view=17185" TargetMode="External"/><Relationship Id="rId24" Type="http://schemas.openxmlformats.org/officeDocument/2006/relationships/hyperlink" Target="https://digifolio.rvp.cz/view/artefact.php?artefact=97122&amp;view=17185" TargetMode="External"/><Relationship Id="rId23" Type="http://schemas.openxmlformats.org/officeDocument/2006/relationships/hyperlink" Target="https://digifolio.rvp.cz/view/artefact.php?artefact=97121&amp;view=1718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6" Type="http://schemas.openxmlformats.org/officeDocument/2006/relationships/hyperlink" Target="https://digifolio.rvp.cz/view/artefact.php?artefact=97124&amp;view=17185" TargetMode="External"/><Relationship Id="rId25" Type="http://schemas.openxmlformats.org/officeDocument/2006/relationships/hyperlink" Target="https://digifolio.rvp.cz/view/artefact.php?artefact=97123&amp;view=17185" TargetMode="External"/><Relationship Id="rId28" Type="http://schemas.openxmlformats.org/officeDocument/2006/relationships/footer" Target="footer1.xm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3.png"/><Relationship Id="rId30" Type="http://schemas.openxmlformats.org/officeDocument/2006/relationships/footer" Target="footer3.xml"/><Relationship Id="rId11" Type="http://schemas.openxmlformats.org/officeDocument/2006/relationships/hyperlink" Target="https://digifolio.rvp.cz/artefact/file/download.php?file=97150&amp;view=17186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audiovideo.rvp.cz/video/4386/IT-MINIMUM-PRO-VEDOUCI-PRACOVNIKY-SKOL-TEMA-5.html" TargetMode="External"/><Relationship Id="rId12" Type="http://schemas.openxmlformats.org/officeDocument/2006/relationships/hyperlink" Target="https://digifolio.rvp.cz/view/view.php?id=17187" TargetMode="External"/><Relationship Id="rId15" Type="http://schemas.openxmlformats.org/officeDocument/2006/relationships/hyperlink" Target="https://audiovideo.rvp.cz/video/4388/INFORMACNI-SYSTEMY-VE-SKOLSTVI-TEMA-7.html" TargetMode="External"/><Relationship Id="rId14" Type="http://schemas.openxmlformats.org/officeDocument/2006/relationships/hyperlink" Target="https://audiovideo.rvp.cz/video/4387/TECHNICKE-A-PROGRAMOVE-VYBAVENI-SKOL-TEMA-6.html" TargetMode="External"/><Relationship Id="rId17" Type="http://schemas.openxmlformats.org/officeDocument/2006/relationships/hyperlink" Target="https://digifolio.rvp.cz/view/artefact.php?artefact=97142&amp;view=17188" TargetMode="External"/><Relationship Id="rId16" Type="http://schemas.openxmlformats.org/officeDocument/2006/relationships/hyperlink" Target="https://audiovideo.rvp.cz/video/4389/AUTOMATIZACE-PROCESU-VE-SKOLSTVI-TEMA-8.html" TargetMode="External"/><Relationship Id="rId19" Type="http://schemas.openxmlformats.org/officeDocument/2006/relationships/hyperlink" Target="https://digifolio.rvp.cz/view/artefact.php?artefact=90222&amp;view=17185" TargetMode="External"/><Relationship Id="rId18" Type="http://schemas.openxmlformats.org/officeDocument/2006/relationships/hyperlink" Target="https://digifolio.rvp.cz/view/artefact.php?artefact=97151&amp;view=17185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ttBhmCIl5/TvAayzsNj+IUhpg==">AMUW2mWa4Li5aot5KzMHDmTna7qHoy/MmidOVTlJEb7jesJVkdPx+vYMpEjHBIahnJxEGKW9480QpWz6mHR1sxGTM5ZBiEFZQfTdlIc8R1/KBKlyeesPOoHsFVBBSm3Ld9V29jMZ2hGuhHlw0S4tqhcpD2+3C/R0dgtPuHAlDZFbYU9ljrYDsNWQqaemQKvL29oM9pqzBlgV9KndH5EE6KsJFrl6y3GioRB3LjZ8jUSlLzmVMKEQKp/nk7jPn0b6sVEe3Ymwz/7TGbhwbN4CUacyGbSHuSXZ8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2020-12-12T20:26:00Z</dcterms:created>
  <dc:creator>Mgr. Bulant Matěj Ph.D.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